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CC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39" w:lineRule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-11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-11"/>
          <w:sz w:val="32"/>
          <w:szCs w:val="32"/>
          <w:shd w:val="clear" w:color="auto" w:fill="FFFFFF"/>
          <w:lang w:eastAsia="zh-CN"/>
        </w:rPr>
        <w:t>附件1</w:t>
      </w:r>
    </w:p>
    <w:p w14:paraId="3155E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textAlignment w:val="auto"/>
        <w:rPr>
          <w:rFonts w:ascii="黑体" w:hAnsi="黑体" w:eastAsia="黑体"/>
          <w:color w:val="0000FF"/>
          <w:sz w:val="32"/>
          <w:szCs w:val="32"/>
        </w:rPr>
      </w:pPr>
    </w:p>
    <w:p w14:paraId="49B29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39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2026年度山东省人民防空科研课题申报指南</w:t>
      </w:r>
    </w:p>
    <w:p w14:paraId="6A1D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39" w:lineRule="auto"/>
        <w:ind w:left="0" w:leftChars="0" w:firstLine="640" w:firstLineChars="200"/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根据《山东省人民防空科学技术研究管理办法》（鲁国动办发〔2023〕6号）有关规定，按照需求牵引、突出重点、注重质量、讲求实效的原则，现将2026年度山东省人民防空科研课题申报指南发布如下：</w:t>
      </w:r>
    </w:p>
    <w:p w14:paraId="7F635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39" w:lineRule="auto"/>
        <w:ind w:left="0" w:leftChars="0" w:firstLine="640" w:firstLineChars="200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一、研究方向</w:t>
      </w:r>
    </w:p>
    <w:p w14:paraId="535EE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39" w:lineRule="auto"/>
        <w:ind w:left="0" w:leftChars="0" w:firstLine="640" w:firstLineChars="200"/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val="en-US" w:eastAsia="zh-CN"/>
        </w:rPr>
        <w:t>1.标准体系建设。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针对当前国防动员（人民防空）领域地方标准体系不完善，地方标准制定缺乏系统性和前瞻性等问题，基于标准化的科学原理和实践方法，开展标准体系框架研究，包括结构层次划分、功能配置、标准范围、技术内容合理性、标准应用程度分析，适时提出与国家标准相协调，符合地区发展需要的标准，为系统性、规范性开展工作提供标准化支撑。</w:t>
      </w:r>
    </w:p>
    <w:p w14:paraId="4BA5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39" w:lineRule="auto"/>
        <w:ind w:left="0" w:leftChars="0" w:firstLine="640" w:firstLineChars="200"/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val="en-US" w:eastAsia="zh-CN"/>
        </w:rPr>
        <w:t>2.人防工程建设管理。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围绕早期人防工程处置、人防工程施工与质量验收、城市普通地下空间兼顾人民防空功能改造利用、人防工程内部IT基础设施散热等当前人防工程建设管理中的重难点问题，研究符合我省实际的技术措施、解决方案等，进一步提升人防工程建设管理质效，</w:t>
      </w:r>
      <w:r>
        <w:rPr>
          <w:rFonts w:hint="default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实现战备效益、社会效益、经济效益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。</w:t>
      </w:r>
    </w:p>
    <w:p w14:paraId="4FCBB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39" w:lineRule="auto"/>
        <w:ind w:left="0" w:leftChars="0" w:firstLine="640" w:firstLineChars="200"/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highlight w:val="none"/>
          <w:lang w:val="en-US" w:eastAsia="zh-CN"/>
        </w:rPr>
        <w:t>新技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val="en-US" w:eastAsia="zh-CN"/>
        </w:rPr>
        <w:t>术、新材料、新工艺、新方法应用。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加强新技术、新材料、新工艺、新方法在国防动员（人民防空）中的应用研究，如人工智能、大数据、新型储能技术和通信技术等，提升国防动员（人民防空）建设水平和发展质效。鼓励聚焦免（易）维护、平战高效转换目标，围绕轻量化、防锈蚀、长时效等方向，研发新型防护设备。</w:t>
      </w:r>
    </w:p>
    <w:p w14:paraId="25160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39" w:lineRule="auto"/>
        <w:ind w:left="0" w:leftChars="0" w:firstLine="640" w:firstLineChars="200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二、考核指标</w:t>
      </w:r>
    </w:p>
    <w:p w14:paraId="38ECA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39" w:lineRule="auto"/>
        <w:ind w:left="0" w:leftChars="0" w:firstLine="640" w:firstLineChars="200"/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结合工作实际，将我省2026年度科研课题成果验收要求明确如下：</w:t>
      </w:r>
    </w:p>
    <w:p w14:paraId="6883C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39" w:lineRule="auto"/>
        <w:ind w:left="0" w:leftChars="0" w:firstLine="640" w:firstLineChars="200"/>
        <w:rPr>
          <w:rFonts w:hint="default" w:ascii="仿宋_GB2312" w:hAnsi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基础研究成果形式以标准范式、技术储备为主，应提交研究报告、标准规范、技术规程、技术指南或图集，在省级以上学术期刊发表论文等。</w:t>
      </w:r>
    </w:p>
    <w:p w14:paraId="6370B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39" w:lineRule="auto"/>
        <w:ind w:left="0" w:leftChars="0" w:firstLine="640" w:firstLineChars="200"/>
      </w:pP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设（装）备研究成果形式以新型产品为主，应提交样机（原型机）、技术方案、工艺文件、检测报告、试用报告、软件核心代码、申请专利或软著等</w:t>
      </w:r>
      <w:r>
        <w:rPr>
          <w:rFonts w:hint="eastAsia" w:ascii="仿宋_GB2312" w:hAnsi="仿宋_GB2312" w:cs="仿宋_GB2312"/>
          <w:snapToGrid w:val="0"/>
          <w:kern w:val="0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797" w:right="1418" w:bottom="1797" w:left="1418" w:header="170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602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1430B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ind w:left="0" w:leftChars="0" w:right="320" w:rightChars="100"/>
      <w:jc w:val="right"/>
      <w:textAlignment w:val="auto"/>
      <w:rPr>
        <w:rFonts w:hint="eastAsia" w:ascii="仿宋_GB2312"/>
        <w:sz w:val="28"/>
        <w:szCs w:val="28"/>
        <w:lang w:eastAsia="zh-CN"/>
      </w:rPr>
    </w:pPr>
    <w:r>
      <w:rPr>
        <w:rFonts w:hint="eastAsia" w:ascii="仿宋_GB2312"/>
        <w:sz w:val="28"/>
        <w:szCs w:val="28"/>
      </w:rPr>
      <w:t>—</w:t>
    </w:r>
    <w:r>
      <w:rPr>
        <w:rFonts w:hint="eastAsia" w:ascii="仿宋_GB2312"/>
        <w:sz w:val="28"/>
        <w:szCs w:val="28"/>
        <w:lang w:eastAsia="zh-CN"/>
      </w:rPr>
      <w:t xml:space="preserve"> 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  <w:lang w:eastAsia="zh-CN"/>
      </w:rPr>
      <w:t xml:space="preserve"> </w:t>
    </w:r>
    <w:r>
      <w:rPr>
        <w:rFonts w:hint="eastAsia" w:ascii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876F"/>
    <w:rsid w:val="149A6524"/>
    <w:rsid w:val="6C4229C2"/>
    <w:rsid w:val="7C475884"/>
    <w:rsid w:val="7EF9876F"/>
    <w:rsid w:val="7F6C59BD"/>
    <w:rsid w:val="7FAF5369"/>
    <w:rsid w:val="FEDF93CA"/>
    <w:rsid w:val="FFEF4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742</Characters>
  <Lines>0</Lines>
  <Paragraphs>0</Paragraphs>
  <TotalTime>27.6666666666667</TotalTime>
  <ScaleCrop>false</ScaleCrop>
  <LinksUpToDate>false</LinksUpToDate>
  <CharactersWithSpaces>742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2025-03-06T18:51:00Z</dcterms:created>
  <dc:creator>songjj</dc:creator>
  <cp:lastModifiedBy>重归苏莲托</cp:lastModifiedBy>
  <cp:lastPrinted>2025-03-06T07:00:34Z</cp:lastPrinted>
  <dcterms:modified xsi:type="dcterms:W3CDTF">2025-03-05T09:11:34Z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56D2D1B73D93428A8E861BABC639E9D2_13</vt:lpwstr>
  </property>
</Properties>
</file>