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9"/>
        </w:tabs>
        <w:adjustRightInd w:val="0"/>
        <w:snapToGrid w:val="0"/>
        <w:jc w:val="right"/>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240" w:lineRule="exact"/>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240" w:lineRule="exact"/>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240" w:lineRule="exact"/>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240" w:lineRule="exact"/>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240" w:lineRule="exact"/>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240" w:lineRule="exact"/>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440" w:lineRule="exact"/>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300" w:lineRule="exact"/>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220" w:lineRule="exact"/>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240" w:lineRule="exact"/>
        <w:rPr>
          <w:rFonts w:ascii="楷体_GB2312" w:hAnsi="宋体" w:eastAsia="楷体_GB2312"/>
          <w:color w:val="000000" w:themeColor="text1"/>
          <w14:textFill>
            <w14:solidFill>
              <w14:schemeClr w14:val="tx1"/>
            </w14:solidFill>
          </w14:textFill>
        </w:rPr>
      </w:pPr>
    </w:p>
    <w:p>
      <w:pPr>
        <w:tabs>
          <w:tab w:val="left" w:pos="709"/>
        </w:tabs>
        <w:adjustRightInd w:val="0"/>
        <w:snapToGrid w:val="0"/>
        <w:spacing w:line="520" w:lineRule="exact"/>
        <w:rPr>
          <w:rFonts w:ascii="楷体_GB2312" w:hAnsi="宋体" w:eastAsia="楷体_GB2312"/>
          <w:color w:val="000000" w:themeColor="text1"/>
          <w14:textFill>
            <w14:solidFill>
              <w14:schemeClr w14:val="tx1"/>
            </w14:solidFill>
          </w14:textFill>
        </w:rPr>
      </w:pPr>
    </w:p>
    <w:p>
      <w:pPr>
        <w:tabs>
          <w:tab w:val="left" w:pos="709"/>
          <w:tab w:val="left" w:pos="8647"/>
        </w:tabs>
        <w:snapToGrid w:val="0"/>
        <w:spacing w:line="384" w:lineRule="auto"/>
        <w:jc w:val="center"/>
        <w:rPr>
          <w:rFonts w:ascii="仿宋_GB2312" w:hAnsi="宋体"/>
          <w:color w:val="000000" w:themeColor="text1"/>
          <w14:textFill>
            <w14:solidFill>
              <w14:schemeClr w14:val="tx1"/>
            </w14:solidFill>
          </w14:textFill>
        </w:rPr>
      </w:pPr>
      <w:r>
        <w:rPr>
          <w:rFonts w:hint="eastAsia" w:ascii="仿宋_GB2312" w:hAnsi="宋体"/>
          <w:color w:val="000000" w:themeColor="text1"/>
          <w14:textFill>
            <w14:solidFill>
              <w14:schemeClr w14:val="tx1"/>
            </w14:solidFill>
          </w14:textFill>
        </w:rPr>
        <w:t>（第</w:t>
      </w:r>
      <w:r>
        <w:rPr>
          <w:rFonts w:hint="eastAsia" w:ascii="仿宋_GB2312" w:hAnsi="宋体"/>
          <w:color w:val="000000" w:themeColor="text1"/>
          <w:lang w:val="en-US" w:eastAsia="zh-CN"/>
          <w14:textFill>
            <w14:solidFill>
              <w14:schemeClr w14:val="tx1"/>
            </w14:solidFill>
          </w14:textFill>
        </w:rPr>
        <w:t>7</w:t>
      </w:r>
      <w:r>
        <w:rPr>
          <w:rFonts w:hint="eastAsia" w:ascii="仿宋_GB2312" w:hAnsi="宋体"/>
          <w:color w:val="000000" w:themeColor="text1"/>
          <w14:textFill>
            <w14:solidFill>
              <w14:schemeClr w14:val="tx1"/>
            </w14:solidFill>
          </w14:textFill>
        </w:rPr>
        <w:t>次）</w:t>
      </w:r>
    </w:p>
    <w:p>
      <w:pPr>
        <w:tabs>
          <w:tab w:val="left" w:pos="284"/>
          <w:tab w:val="left" w:pos="709"/>
          <w:tab w:val="left" w:pos="8647"/>
        </w:tabs>
        <w:adjustRightInd w:val="0"/>
        <w:snapToGrid w:val="0"/>
        <w:spacing w:line="384" w:lineRule="auto"/>
        <w:ind w:right="-160" w:rightChars="-50" w:firstLine="320" w:firstLineChars="100"/>
        <w:rPr>
          <w:rFonts w:hint="eastAsia" w:ascii="仿宋_GB2312" w:hAnsi="宋体" w:eastAsia="仿宋_GB2312"/>
          <w:color w:val="000000" w:themeColor="text1"/>
          <w:lang w:eastAsia="zh-CN"/>
          <w14:textFill>
            <w14:solidFill>
              <w14:schemeClr w14:val="tx1"/>
            </w14:solidFill>
          </w14:textFill>
        </w:rPr>
      </w:pPr>
      <w:r>
        <w:rPr>
          <w:rFonts w:hint="eastAsia" w:ascii="仿宋_GB2312" w:hAnsi="宋体"/>
          <w:color w:val="000000" w:themeColor="text1"/>
          <w14:textFill>
            <w14:solidFill>
              <w14:schemeClr w14:val="tx1"/>
            </w14:solidFill>
          </w14:textFill>
        </w:rPr>
        <w:t>2020年</w:t>
      </w:r>
      <w:r>
        <w:rPr>
          <w:rFonts w:hint="eastAsia" w:ascii="仿宋_GB2312" w:hAnsi="宋体"/>
          <w:color w:val="000000" w:themeColor="text1"/>
          <w:lang w:val="en-US" w:eastAsia="zh-CN"/>
          <w14:textFill>
            <w14:solidFill>
              <w14:schemeClr w14:val="tx1"/>
            </w14:solidFill>
          </w14:textFill>
        </w:rPr>
        <w:t>10</w:t>
      </w:r>
      <w:r>
        <w:rPr>
          <w:rFonts w:hint="eastAsia" w:ascii="仿宋_GB2312" w:hAnsi="宋体"/>
          <w:color w:val="000000" w:themeColor="text1"/>
          <w14:textFill>
            <w14:solidFill>
              <w14:schemeClr w14:val="tx1"/>
            </w14:solidFill>
          </w14:textFill>
        </w:rPr>
        <w:t>月</w:t>
      </w:r>
      <w:r>
        <w:rPr>
          <w:rFonts w:hint="eastAsia" w:ascii="仿宋_GB2312" w:hAnsi="宋体"/>
          <w:color w:val="000000" w:themeColor="text1"/>
          <w:lang w:val="en-US" w:eastAsia="zh-CN"/>
          <w14:textFill>
            <w14:solidFill>
              <w14:schemeClr w14:val="tx1"/>
            </w14:solidFill>
          </w14:textFill>
        </w:rPr>
        <w:t>15</w:t>
      </w:r>
      <w:r>
        <w:rPr>
          <w:rFonts w:hint="eastAsia" w:ascii="仿宋_GB2312" w:hAnsi="宋体"/>
          <w:color w:val="000000" w:themeColor="text1"/>
          <w14:textFill>
            <w14:solidFill>
              <w14:schemeClr w14:val="tx1"/>
            </w14:solidFill>
          </w14:textFill>
        </w:rPr>
        <w:t xml:space="preserve">日                     </w:t>
      </w:r>
      <w:r>
        <w:rPr>
          <w:rFonts w:hint="eastAsia" w:ascii="仿宋_GB2312" w:hAnsi="宋体"/>
          <w:color w:val="000000" w:themeColor="text1"/>
          <w:lang w:val="en-US" w:eastAsia="zh-CN"/>
          <w14:textFill>
            <w14:solidFill>
              <w14:schemeClr w14:val="tx1"/>
            </w14:solidFill>
          </w14:textFill>
        </w:rPr>
        <w:t xml:space="preserve">  </w:t>
      </w:r>
      <w:r>
        <w:rPr>
          <w:rFonts w:hint="eastAsia" w:ascii="仿宋_GB2312" w:hAnsi="宋体"/>
          <w:color w:val="000000" w:themeColor="text1"/>
          <w14:textFill>
            <w14:solidFill>
              <w14:schemeClr w14:val="tx1"/>
            </w14:solidFill>
          </w14:textFill>
        </w:rPr>
        <w:t>审签人：</w:t>
      </w:r>
      <w:r>
        <w:rPr>
          <w:rFonts w:hint="eastAsia" w:ascii="楷体_GB2312" w:hAnsi="宋体" w:eastAsia="楷体_GB2312"/>
          <w:color w:val="000000" w:themeColor="text1"/>
          <w:lang w:eastAsia="zh-CN"/>
          <w14:textFill>
            <w14:solidFill>
              <w14:schemeClr w14:val="tx1"/>
            </w14:solidFill>
          </w14:textFill>
        </w:rPr>
        <w:t>仲晋</w:t>
      </w:r>
    </w:p>
    <w:p>
      <w:pPr>
        <w:tabs>
          <w:tab w:val="left" w:pos="709"/>
        </w:tabs>
        <w:adjustRightInd w:val="0"/>
        <w:snapToGrid w:val="0"/>
        <w:spacing w:line="372" w:lineRule="auto"/>
        <w:rPr>
          <w:rFonts w:ascii="仿宋_GB2312" w:hAnsi="宋体"/>
          <w:color w:val="000000" w:themeColor="text1"/>
          <w14:textFill>
            <w14:solidFill>
              <w14:schemeClr w14:val="tx1"/>
            </w14:solidFill>
          </w14:textFill>
        </w:rPr>
      </w:pPr>
    </w:p>
    <w:p>
      <w:pPr>
        <w:tabs>
          <w:tab w:val="left" w:pos="709"/>
        </w:tabs>
        <w:adjustRightInd w:val="0"/>
        <w:snapToGrid w:val="0"/>
        <w:spacing w:line="372" w:lineRule="auto"/>
        <w:rPr>
          <w:rFonts w:ascii="仿宋_GB2312" w:hAnsi="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bCs/>
          <w:snapToGrid w:val="0"/>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Cs/>
          <w:snapToGrid w:val="0"/>
          <w:color w:val="000000" w:themeColor="text1"/>
          <w:kern w:val="0"/>
          <w:sz w:val="44"/>
          <w:szCs w:val="44"/>
          <w14:textFill>
            <w14:solidFill>
              <w14:schemeClr w14:val="tx1"/>
            </w14:solidFill>
          </w14:textFill>
        </w:rPr>
        <w:t>关于修订《山东省单建人防工程</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bCs/>
          <w:snapToGrid w:val="0"/>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Cs/>
          <w:snapToGrid w:val="0"/>
          <w:color w:val="000000" w:themeColor="text1"/>
          <w:kern w:val="0"/>
          <w:sz w:val="44"/>
          <w:szCs w:val="44"/>
          <w14:textFill>
            <w14:solidFill>
              <w14:schemeClr w14:val="tx1"/>
            </w14:solidFill>
          </w14:textFill>
        </w:rPr>
        <w:t>施工安全监管办法》（鲁防发〔2015〕5号）</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bCs/>
          <w:snapToGrid w:val="0"/>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Cs/>
          <w:snapToGrid w:val="0"/>
          <w:color w:val="000000" w:themeColor="text1"/>
          <w:kern w:val="0"/>
          <w:sz w:val="44"/>
          <w:szCs w:val="44"/>
          <w14:textFill>
            <w14:solidFill>
              <w14:schemeClr w14:val="tx1"/>
            </w14:solidFill>
          </w14:textFill>
        </w:rPr>
        <w:t>有关情况的汇报</w:t>
      </w:r>
    </w:p>
    <w:p>
      <w:pPr>
        <w:pStyle w:val="21"/>
        <w:keepNext w:val="0"/>
        <w:keepLines w:val="0"/>
        <w:pageBreakBefore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spacing w:val="0"/>
          <w:kern w:val="0"/>
          <w:sz w:val="32"/>
          <w:szCs w:val="30"/>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36" w:lineRule="auto"/>
        <w:jc w:val="both"/>
        <w:textAlignment w:val="auto"/>
        <w:rPr>
          <w:rFonts w:hint="eastAsia" w:ascii="仿宋_GB2312" w:hAnsi="仿宋_GB2312" w:eastAsia="仿宋_GB2312" w:cs="仿宋_GB2312"/>
          <w:snapToGrid w:val="0"/>
          <w:color w:val="000000" w:themeColor="text1"/>
          <w:spacing w:val="0"/>
          <w:kern w:val="0"/>
          <w:sz w:val="32"/>
          <w:szCs w:val="30"/>
          <w14:textFill>
            <w14:solidFill>
              <w14:schemeClr w14:val="tx1"/>
            </w14:solidFill>
          </w14:textFill>
        </w:rPr>
      </w:pPr>
      <w:r>
        <w:rPr>
          <w:rFonts w:hint="eastAsia" w:ascii="仿宋_GB2312" w:hAnsi="仿宋_GB2312" w:eastAsia="仿宋_GB2312" w:cs="仿宋_GB2312"/>
          <w:snapToGrid w:val="0"/>
          <w:color w:val="000000" w:themeColor="text1"/>
          <w:spacing w:val="0"/>
          <w:kern w:val="0"/>
          <w:sz w:val="32"/>
          <w:szCs w:val="30"/>
          <w14:textFill>
            <w14:solidFill>
              <w14:schemeClr w14:val="tx1"/>
            </w14:solidFill>
          </w14:textFill>
        </w:rPr>
        <w:t xml:space="preserve">    《山东省单建人防工程施工安全监管办法》（鲁防发〔2015〕15号）</w:t>
      </w:r>
      <w:r>
        <w:rPr>
          <w:rFonts w:hint="eastAsia" w:ascii="仿宋_GB2312" w:hAnsi="仿宋_GB2312" w:eastAsia="仿宋_GB2312" w:cs="仿宋_GB2312"/>
          <w:snapToGrid w:val="0"/>
          <w:color w:val="000000" w:themeColor="text1"/>
          <w:spacing w:val="0"/>
          <w:kern w:val="0"/>
          <w:sz w:val="32"/>
          <w:szCs w:val="32"/>
          <w14:textFill>
            <w14:solidFill>
              <w14:schemeClr w14:val="tx1"/>
            </w14:solidFill>
          </w14:textFill>
        </w:rPr>
        <w:t>（以下简称《办法》）自2015年10月8日起施行，2020年10月7日到期。</w:t>
      </w:r>
      <w:r>
        <w:rPr>
          <w:rFonts w:hint="eastAsia" w:ascii="仿宋_GB2312" w:hAnsi="仿宋_GB2312" w:eastAsia="仿宋_GB2312" w:cs="仿宋_GB2312"/>
          <w:snapToGrid w:val="0"/>
          <w:color w:val="000000" w:themeColor="text1"/>
          <w:spacing w:val="0"/>
          <w:kern w:val="0"/>
          <w:sz w:val="32"/>
          <w:szCs w:val="30"/>
          <w14:textFill>
            <w14:solidFill>
              <w14:schemeClr w14:val="tx1"/>
            </w14:solidFill>
          </w14:textFill>
        </w:rPr>
        <w:t>为</w:t>
      </w:r>
      <w:r>
        <w:rPr>
          <w:rFonts w:hint="eastAsia" w:ascii="仿宋_GB2312" w:hAnsi="仿宋_GB2312" w:eastAsia="仿宋_GB2312" w:cs="仿宋_GB2312"/>
          <w:snapToGrid w:val="0"/>
          <w:color w:val="000000" w:themeColor="text1"/>
          <w:spacing w:val="0"/>
          <w:kern w:val="0"/>
          <w:sz w:val="32"/>
          <w14:textFill>
            <w14:solidFill>
              <w14:schemeClr w14:val="tx1"/>
            </w14:solidFill>
          </w14:textFill>
        </w:rPr>
        <w:t>进一步加强单建人防工程施工安全监督</w:t>
      </w:r>
      <w:r>
        <w:rPr>
          <w:rFonts w:hint="eastAsia" w:ascii="仿宋_GB2312" w:hAnsi="仿宋_GB2312" w:eastAsia="仿宋_GB2312" w:cs="仿宋_GB2312"/>
          <w:snapToGrid w:val="0"/>
          <w:color w:val="000000" w:themeColor="text1"/>
          <w:spacing w:val="0"/>
          <w:kern w:val="0"/>
          <w:sz w:val="32"/>
          <w:szCs w:val="32"/>
          <w14:textFill>
            <w14:solidFill>
              <w14:schemeClr w14:val="tx1"/>
            </w14:solidFill>
          </w14:textFill>
        </w:rPr>
        <w:t>管理</w:t>
      </w:r>
      <w:r>
        <w:rPr>
          <w:rFonts w:hint="eastAsia" w:ascii="仿宋_GB2312" w:hAnsi="仿宋_GB2312" w:eastAsia="仿宋_GB2312" w:cs="仿宋_GB2312"/>
          <w:snapToGrid w:val="0"/>
          <w:color w:val="000000" w:themeColor="text1"/>
          <w:spacing w:val="0"/>
          <w:kern w:val="0"/>
          <w:sz w:val="32"/>
          <w14:textFill>
            <w14:solidFill>
              <w14:schemeClr w14:val="tx1"/>
            </w14:solidFill>
          </w14:textFill>
        </w:rPr>
        <w:t>，</w:t>
      </w:r>
      <w:r>
        <w:rPr>
          <w:rFonts w:hint="eastAsia" w:ascii="仿宋_GB2312" w:hAnsi="仿宋_GB2312" w:eastAsia="仿宋_GB2312" w:cs="仿宋_GB2312"/>
          <w:snapToGrid w:val="0"/>
          <w:color w:val="000000" w:themeColor="text1"/>
          <w:spacing w:val="0"/>
          <w:kern w:val="0"/>
          <w:sz w:val="32"/>
          <w:szCs w:val="32"/>
          <w14:textFill>
            <w14:solidFill>
              <w14:schemeClr w14:val="tx1"/>
            </w14:solidFill>
          </w14:textFill>
        </w:rPr>
        <w:t>防范安全事故</w:t>
      </w:r>
      <w:r>
        <w:rPr>
          <w:rFonts w:hint="eastAsia" w:ascii="仿宋_GB2312" w:hAnsi="仿宋_GB2312" w:eastAsia="仿宋_GB2312" w:cs="仿宋_GB2312"/>
          <w:snapToGrid w:val="0"/>
          <w:color w:val="000000" w:themeColor="text1"/>
          <w:spacing w:val="0"/>
          <w:kern w:val="0"/>
          <w:sz w:val="32"/>
          <w14:textFill>
            <w14:solidFill>
              <w14:schemeClr w14:val="tx1"/>
            </w14:solidFill>
          </w14:textFill>
        </w:rPr>
        <w:t>发生，保障国家财产和人民群众生命安全，根据有关规定组织对以上</w:t>
      </w:r>
      <w:r>
        <w:rPr>
          <w:rFonts w:hint="eastAsia" w:ascii="仿宋_GB2312" w:hAnsi="仿宋_GB2312" w:eastAsia="仿宋_GB2312" w:cs="仿宋_GB2312"/>
          <w:snapToGrid w:val="0"/>
          <w:color w:val="000000" w:themeColor="text1"/>
          <w:spacing w:val="0"/>
          <w:kern w:val="0"/>
          <w:sz w:val="32"/>
          <w:szCs w:val="30"/>
          <w14:textFill>
            <w14:solidFill>
              <w14:schemeClr w14:val="tx1"/>
            </w14:solidFill>
          </w14:textFill>
        </w:rPr>
        <w:t>《办法》进行了修订。现将有关情况汇报如下。</w:t>
      </w:r>
    </w:p>
    <w:p>
      <w:pPr>
        <w:pStyle w:val="21"/>
        <w:keepNext w:val="0"/>
        <w:keepLines w:val="0"/>
        <w:pageBreakBefore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snapToGrid w:val="0"/>
          <w:color w:val="000000" w:themeColor="text1"/>
          <w:spacing w:val="0"/>
          <w:kern w:val="0"/>
          <w:sz w:val="32"/>
          <w:szCs w:val="30"/>
          <w14:textFill>
            <w14:solidFill>
              <w14:schemeClr w14:val="tx1"/>
            </w14:solidFill>
          </w14:textFill>
        </w:rPr>
      </w:pPr>
      <w:r>
        <w:rPr>
          <w:rFonts w:hint="eastAsia" w:ascii="黑体" w:hAnsi="黑体" w:eastAsia="黑体"/>
          <w:snapToGrid w:val="0"/>
          <w:color w:val="000000" w:themeColor="text1"/>
          <w:spacing w:val="0"/>
          <w:kern w:val="0"/>
          <w:sz w:val="32"/>
          <w:szCs w:val="30"/>
          <w14:textFill>
            <w14:solidFill>
              <w14:schemeClr w14:val="tx1"/>
            </w14:solidFill>
          </w14:textFill>
        </w:rPr>
        <w:t>一、《办法》修订的必要性</w:t>
      </w:r>
    </w:p>
    <w:p>
      <w:pPr>
        <w:pStyle w:val="21"/>
        <w:keepNext w:val="0"/>
        <w:keepLines w:val="0"/>
        <w:pageBreakBefore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spacing w:val="0"/>
          <w:kern w:val="0"/>
          <w:sz w:val="32"/>
          <w:szCs w:val="30"/>
          <w14:textFill>
            <w14:solidFill>
              <w14:schemeClr w14:val="tx1"/>
            </w14:solidFill>
          </w14:textFill>
        </w:rPr>
      </w:pPr>
      <w:r>
        <w:rPr>
          <w:rFonts w:hint="eastAsia" w:ascii="仿宋_GB2312" w:hAnsi="仿宋_GB2312" w:eastAsia="仿宋_GB2312" w:cs="仿宋_GB2312"/>
          <w:snapToGrid w:val="0"/>
          <w:color w:val="000000" w:themeColor="text1"/>
          <w:spacing w:val="0"/>
          <w:kern w:val="0"/>
          <w:sz w:val="32"/>
          <w:szCs w:val="32"/>
          <w14:textFill>
            <w14:solidFill>
              <w14:schemeClr w14:val="tx1"/>
            </w14:solidFill>
          </w14:textFill>
        </w:rPr>
        <w:t>《办法》施行5年来，对加强我省单建人防工程施工安全监督管理起到了重要作用，由于《办法》制定时间较早，有的规定已不适合目前的情况；有的规定过于笼统，操作性不强，市、县（市、区）人防部门也提出了建议意见，为认真贯彻落实</w:t>
      </w:r>
      <w:r>
        <w:rPr>
          <w:rFonts w:hint="eastAsia" w:ascii="仿宋_GB2312" w:hAnsi="仿宋_GB2312" w:eastAsia="仿宋_GB2312" w:cs="仿宋_GB2312"/>
          <w:snapToGrid w:val="0"/>
          <w:color w:val="000000" w:themeColor="text1"/>
          <w:spacing w:val="0"/>
          <w:kern w:val="0"/>
          <w:sz w:val="32"/>
          <w:szCs w:val="30"/>
          <w14:textFill>
            <w14:solidFill>
              <w14:schemeClr w14:val="tx1"/>
            </w14:solidFill>
          </w14:textFill>
        </w:rPr>
        <w:t>单建人防工程施工</w:t>
      </w:r>
      <w:r>
        <w:rPr>
          <w:rFonts w:hint="eastAsia" w:ascii="仿宋_GB2312" w:hAnsi="仿宋_GB2312" w:eastAsia="仿宋_GB2312" w:cs="仿宋_GB2312"/>
          <w:snapToGrid w:val="0"/>
          <w:color w:val="000000" w:themeColor="text1"/>
          <w:spacing w:val="0"/>
          <w:kern w:val="0"/>
          <w:sz w:val="32"/>
          <w:szCs w:val="32"/>
          <w14:textFill>
            <w14:solidFill>
              <w14:schemeClr w14:val="tx1"/>
            </w14:solidFill>
          </w14:textFill>
        </w:rPr>
        <w:t>安全生产有关法律法规，进一步规范单建人防工程施工</w:t>
      </w:r>
      <w:r>
        <w:rPr>
          <w:rFonts w:hint="eastAsia" w:ascii="仿宋_GB2312" w:hAnsi="仿宋_GB2312" w:eastAsia="仿宋_GB2312" w:cs="仿宋_GB2312"/>
          <w:snapToGrid w:val="0"/>
          <w:color w:val="000000" w:themeColor="text1"/>
          <w:spacing w:val="0"/>
          <w:kern w:val="0"/>
          <w:sz w:val="32"/>
          <w:szCs w:val="30"/>
          <w14:textFill>
            <w14:solidFill>
              <w14:schemeClr w14:val="tx1"/>
            </w14:solidFill>
          </w14:textFill>
        </w:rPr>
        <w:t>安全监管工作，</w:t>
      </w:r>
      <w:r>
        <w:rPr>
          <w:rFonts w:hint="eastAsia" w:ascii="仿宋_GB2312" w:hAnsi="仿宋_GB2312" w:eastAsia="仿宋_GB2312" w:cs="仿宋_GB2312"/>
          <w:snapToGrid w:val="0"/>
          <w:color w:val="000000" w:themeColor="text1"/>
          <w:spacing w:val="0"/>
          <w:kern w:val="0"/>
          <w:sz w:val="32"/>
          <w:szCs w:val="32"/>
          <w14:textFill>
            <w14:solidFill>
              <w14:schemeClr w14:val="tx1"/>
            </w14:solidFill>
          </w14:textFill>
        </w:rPr>
        <w:t>结合我省实际，需要对《办法》进行修订和完善。</w:t>
      </w:r>
    </w:p>
    <w:p>
      <w:pPr>
        <w:pStyle w:val="21"/>
        <w:keepNext w:val="0"/>
        <w:keepLines w:val="0"/>
        <w:pageBreakBefore w:val="0"/>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snapToGrid w:val="0"/>
          <w:color w:val="000000" w:themeColor="text1"/>
          <w:spacing w:val="0"/>
          <w:kern w:val="0"/>
          <w:sz w:val="32"/>
          <w:szCs w:val="30"/>
          <w14:textFill>
            <w14:solidFill>
              <w14:schemeClr w14:val="tx1"/>
            </w14:solidFill>
          </w14:textFill>
        </w:rPr>
      </w:pPr>
      <w:r>
        <w:rPr>
          <w:rFonts w:hint="eastAsia" w:ascii="黑体" w:hAnsi="黑体" w:eastAsia="黑体"/>
          <w:snapToGrid w:val="0"/>
          <w:color w:val="000000" w:themeColor="text1"/>
          <w:spacing w:val="0"/>
          <w:kern w:val="0"/>
          <w:sz w:val="32"/>
          <w:szCs w:val="30"/>
          <w14:textFill>
            <w14:solidFill>
              <w14:schemeClr w14:val="tx1"/>
            </w14:solidFill>
          </w14:textFill>
        </w:rPr>
        <w:t>二、起草依据及过程</w:t>
      </w:r>
    </w:p>
    <w:p>
      <w:pPr>
        <w:pStyle w:val="21"/>
        <w:keepNext w:val="0"/>
        <w:keepLines w:val="0"/>
        <w:pageBreakBefore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spacing w:val="0"/>
          <w:kern w:val="0"/>
          <w:sz w:val="32"/>
          <w:szCs w:val="32"/>
          <w14:textFill>
            <w14:solidFill>
              <w14:schemeClr w14:val="tx1"/>
            </w14:solidFill>
          </w14:textFill>
        </w:rPr>
        <w:t>《办法》修订的依据是《中华人民共和国安全生产法》《中华人民共和国人民防空法》《建设工程安全生产管理条例》《山东省安全生产条例》《山东省人民防空工程管理办法》《危险性较大的分部分项工程安全管理办法》及有关法律、法规。自今年5月份启动，先后2拟其稿，组织有关人员认真进行研究修改形成了《办法》（草案），并</w:t>
      </w:r>
      <w:r>
        <w:rPr>
          <w:rFonts w:hint="eastAsia" w:ascii="仿宋_GB2312" w:hAnsi="仿宋_GB2312" w:eastAsia="仿宋_GB2312" w:cs="仿宋_GB2312"/>
          <w:snapToGrid w:val="0"/>
          <w:color w:val="000000" w:themeColor="text1"/>
          <w:spacing w:val="0"/>
          <w:kern w:val="0"/>
          <w:sz w:val="32"/>
          <w:szCs w:val="30"/>
          <w14:textFill>
            <w14:solidFill>
              <w14:schemeClr w14:val="tx1"/>
            </w14:solidFill>
          </w14:textFill>
        </w:rPr>
        <w:t>于9月11日至24日在我办门户网站公开发布征求意见的通知，广泛向各市、县（市区）人防主管部门、有关单位、社会公众征求意见建议。期间收到反馈意见建议1份，并</w:t>
      </w:r>
      <w:r>
        <w:rPr>
          <w:rFonts w:hint="eastAsia" w:ascii="仿宋_GB2312" w:hAnsi="仿宋_GB2312" w:eastAsia="仿宋_GB2312" w:cs="仿宋_GB2312"/>
          <w:snapToGrid w:val="0"/>
          <w:color w:val="000000" w:themeColor="text1"/>
          <w:spacing w:val="0"/>
          <w:kern w:val="0"/>
          <w:sz w:val="32"/>
          <w:szCs w:val="32"/>
          <w14:textFill>
            <w14:solidFill>
              <w14:schemeClr w14:val="tx1"/>
            </w14:solidFill>
          </w14:textFill>
        </w:rPr>
        <w:t>认真进行梳理，根据建议的具体内容对相关部分进行了修订完善。在此基础上，于9月28日召开了《办法》修订审查会议，安科处汇报了《办法》修订情况，仲晋副主任和总工程师及相关处、直属事业单位、法律顾问、企业代表等有关人员参加审查并提出修改意见，按照会议要求进行了修订完善。</w:t>
      </w:r>
    </w:p>
    <w:p>
      <w:pPr>
        <w:pStyle w:val="29"/>
        <w:keepNext w:val="0"/>
        <w:keepLines w:val="0"/>
        <w:pageBreakBefore w:val="0"/>
        <w:shd w:val="clear" w:color="auto" w:fill="FFFFFF"/>
        <w:kinsoku/>
        <w:wordWrap/>
        <w:overflowPunct/>
        <w:topLinePunct w:val="0"/>
        <w:autoSpaceDE/>
        <w:autoSpaceDN/>
        <w:bidi w:val="0"/>
        <w:adjustRightInd w:val="0"/>
        <w:snapToGrid w:val="0"/>
        <w:spacing w:line="336" w:lineRule="auto"/>
        <w:ind w:firstLine="641"/>
        <w:jc w:val="both"/>
        <w:textAlignment w:val="auto"/>
        <w:rPr>
          <w:rFonts w:ascii="黑体" w:hAnsi="黑体" w:eastAsia="黑体" w:cs="Arial"/>
          <w:snapToGrid w:val="0"/>
          <w:color w:val="000000" w:themeColor="text1"/>
          <w:spacing w:val="0"/>
          <w:kern w:val="0"/>
          <w:sz w:val="32"/>
          <w:szCs w:val="32"/>
          <w14:textFill>
            <w14:solidFill>
              <w14:schemeClr w14:val="tx1"/>
            </w14:solidFill>
          </w14:textFill>
        </w:rPr>
      </w:pPr>
      <w:r>
        <w:rPr>
          <w:rFonts w:hint="eastAsia" w:ascii="黑体" w:hAnsi="黑体" w:eastAsia="黑体"/>
          <w:snapToGrid w:val="0"/>
          <w:color w:val="000000" w:themeColor="text1"/>
          <w:spacing w:val="0"/>
          <w:kern w:val="0"/>
          <w:sz w:val="32"/>
          <w:szCs w:val="30"/>
          <w14:textFill>
            <w14:solidFill>
              <w14:schemeClr w14:val="tx1"/>
            </w14:solidFill>
          </w14:textFill>
        </w:rPr>
        <w:t>三、《办法》的主要框架及内容</w:t>
      </w:r>
    </w:p>
    <w:p>
      <w:pPr>
        <w:pStyle w:val="21"/>
        <w:keepNext w:val="0"/>
        <w:keepLines w:val="0"/>
        <w:pageBreakBefore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spacing w:val="0"/>
          <w:kern w:val="0"/>
          <w:sz w:val="32"/>
          <w:szCs w:val="32"/>
          <w14:textFill>
            <w14:solidFill>
              <w14:schemeClr w14:val="tx1"/>
            </w14:solidFill>
          </w14:textFill>
        </w:rPr>
        <w:t>《办法》共四章二十三条，分为总则、施工安全责任、现场监管主要内容和附则。</w:t>
      </w:r>
    </w:p>
    <w:p>
      <w:pPr>
        <w:keepNext w:val="0"/>
        <w:keepLines w:val="0"/>
        <w:pageBreakBefore w:val="0"/>
        <w:numPr>
          <w:ilvl w:val="0"/>
          <w:numId w:val="2"/>
        </w:numPr>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spacing w:val="0"/>
          <w:kern w:val="0"/>
          <w:sz w:val="32"/>
          <w14:textFill>
            <w14:solidFill>
              <w14:schemeClr w14:val="tx1"/>
            </w14:solidFill>
          </w14:textFill>
        </w:rPr>
      </w:pPr>
      <w:r>
        <w:rPr>
          <w:rFonts w:hint="eastAsia" w:ascii="仿宋_GB2312" w:hAnsi="仿宋_GB2312" w:eastAsia="仿宋_GB2312" w:cs="仿宋_GB2312"/>
          <w:snapToGrid w:val="0"/>
          <w:color w:val="000000" w:themeColor="text1"/>
          <w:spacing w:val="0"/>
          <w:kern w:val="0"/>
          <w:sz w:val="32"/>
          <w:szCs w:val="32"/>
          <w14:textFill>
            <w14:solidFill>
              <w14:schemeClr w14:val="tx1"/>
            </w14:solidFill>
          </w14:textFill>
        </w:rPr>
        <w:t>关于本《办法》的适用范围。原《办法》规定：</w:t>
      </w:r>
      <w:r>
        <w:rPr>
          <w:rFonts w:hint="eastAsia" w:ascii="仿宋_GB2312" w:hAnsi="仿宋_GB2312" w:eastAsia="仿宋_GB2312" w:cs="仿宋_GB2312"/>
          <w:snapToGrid w:val="0"/>
          <w:color w:val="000000" w:themeColor="text1"/>
          <w:spacing w:val="0"/>
          <w:kern w:val="0"/>
          <w:sz w:val="32"/>
          <w14:textFill>
            <w14:solidFill>
              <w14:schemeClr w14:val="tx1"/>
            </w14:solidFill>
          </w14:textFill>
        </w:rPr>
        <w:t>在本省行政区域内从事新建、改建、扩建、加固改造的单建人防工程施工活动的单位、个人以及实施监督管理适用本办法。修改后规定：</w:t>
      </w:r>
      <w:r>
        <w:rPr>
          <w:rFonts w:hint="eastAsia" w:ascii="仿宋_GB2312" w:hAnsi="仿宋_GB2312" w:eastAsia="仿宋_GB2312" w:cs="仿宋_GB2312"/>
          <w:snapToGrid w:val="0"/>
          <w:color w:val="000000" w:themeColor="text1"/>
          <w:spacing w:val="0"/>
          <w:kern w:val="0"/>
          <w:sz w:val="32"/>
          <w:szCs w:val="32"/>
          <w14:textFill>
            <w14:solidFill>
              <w14:schemeClr w14:val="tx1"/>
            </w14:solidFill>
          </w14:textFill>
        </w:rPr>
        <w:t>在本省行政区域内从事单建人防工程新建、改建、扩建、加固改造、拆除等活动的建设、勘察、设计、施工、监理、材料设备供应及</w:t>
      </w:r>
      <w:r>
        <w:rPr>
          <w:rFonts w:hint="eastAsia" w:ascii="仿宋_GB2312" w:hAnsi="仿宋_GB2312" w:eastAsia="仿宋_GB2312" w:cs="仿宋_GB2312"/>
          <w:snapToGrid w:val="0"/>
          <w:color w:val="000000" w:themeColor="text1"/>
          <w:spacing w:val="0"/>
          <w:kern w:val="0"/>
          <w:sz w:val="32"/>
          <w14:textFill>
            <w14:solidFill>
              <w14:schemeClr w14:val="tx1"/>
            </w14:solidFill>
          </w14:textFill>
        </w:rPr>
        <w:t>人防专用设备生产安装等有关单位和个人，以及人防主管部门和授权实施安全监督管理单位（机构）适用本办法。修改后的范围符合《建设工程安全生产管理条例》的规定。</w:t>
      </w:r>
    </w:p>
    <w:p>
      <w:pPr>
        <w:pStyle w:val="21"/>
        <w:keepNext w:val="0"/>
        <w:keepLines w:val="0"/>
        <w:pageBreakBefore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spacing w:val="0"/>
          <w:kern w:val="0"/>
          <w:sz w:val="32"/>
          <w:szCs w:val="20"/>
          <w14:textFill>
            <w14:solidFill>
              <w14:schemeClr w14:val="tx1"/>
            </w14:solidFill>
          </w14:textFill>
        </w:rPr>
      </w:pPr>
      <w:r>
        <w:rPr>
          <w:rFonts w:hint="eastAsia" w:ascii="仿宋_GB2312" w:hAnsi="仿宋_GB2312" w:eastAsia="仿宋_GB2312" w:cs="仿宋_GB2312"/>
          <w:snapToGrid w:val="0"/>
          <w:color w:val="000000" w:themeColor="text1"/>
          <w:spacing w:val="0"/>
          <w:kern w:val="0"/>
          <w:sz w:val="32"/>
          <w:szCs w:val="20"/>
          <w14:textFill>
            <w14:solidFill>
              <w14:schemeClr w14:val="tx1"/>
            </w14:solidFill>
          </w14:textFill>
        </w:rPr>
        <w:t>（二）关于单建人防工程施工安全责任。为了进一步明确单建人防工程施工安全责任，提高安全监管工作的可操作性，《办法》第五条、第六条对各级人防主管部门和人防安全生产监督机构的监管职责及主要工作任务作出明确规定；第七条对参与单建人防工程的建设、勘察、设计、施工、监理、材料设备供应及人防专用设备生产安装等有关单位的施工安全主体责任作出规定。《山东省房屋市政施工危险性较大分部分项工程安全管理实施细则》（鲁建质安字[2018]15号）对“危大工程”安全管理已作出明确要求，原《办法》第七条中表述与此不一致，此次修订删除了第七条第一款第二项和第七条第二款第二项、第四项的内容，增加了“单建人防工程施工中涉及的危大工程（即危险性较大的分部分项工程），按照国家和省有关法规规定执行”。</w:t>
      </w:r>
    </w:p>
    <w:p>
      <w:pPr>
        <w:pStyle w:val="21"/>
        <w:keepNext w:val="0"/>
        <w:keepLines w:val="0"/>
        <w:pageBreakBefore w:val="0"/>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spacing w:val="0"/>
          <w:kern w:val="0"/>
          <w:sz w:val="32"/>
          <w:szCs w:val="20"/>
          <w14:textFill>
            <w14:solidFill>
              <w14:schemeClr w14:val="tx1"/>
            </w14:solidFill>
          </w14:textFill>
        </w:rPr>
        <w:t>（三）关于单建人防工程施工安全现场监管。为加强单建人防工程施工安全监管工作的可操作性，《办法》对办理施工安全生产监督手续、施工安全检查内容、施工安全监督台账进行了明确；</w:t>
      </w:r>
      <w:r>
        <w:rPr>
          <w:rFonts w:hint="eastAsia" w:ascii="仿宋_GB2312" w:hAnsi="仿宋_GB2312" w:eastAsia="仿宋_GB2312" w:cs="仿宋_GB2312"/>
          <w:snapToGrid w:val="0"/>
          <w:color w:val="000000" w:themeColor="text1"/>
          <w:spacing w:val="0"/>
          <w:kern w:val="0"/>
          <w:sz w:val="32"/>
          <w:szCs w:val="32"/>
          <w14:textFill>
            <w14:solidFill>
              <w14:schemeClr w14:val="tx1"/>
            </w14:solidFill>
          </w14:textFill>
        </w:rPr>
        <w:t>对各级人防主管部门和安全生产监督机构落实单建人防工程施工安全监管责任进行了明确。</w:t>
      </w:r>
    </w:p>
    <w:p>
      <w:pPr>
        <w:pStyle w:val="29"/>
        <w:keepNext w:val="0"/>
        <w:keepLines w:val="0"/>
        <w:pageBreakBefore w:val="0"/>
        <w:widowControl/>
        <w:shd w:val="clear" w:color="auto" w:fill="FFFFFF"/>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spacing w:val="0"/>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spacing w:val="0"/>
          <w:kern w:val="0"/>
          <w:sz w:val="32"/>
          <w:szCs w:val="32"/>
          <w14:textFill>
            <w14:solidFill>
              <w14:schemeClr w14:val="tx1"/>
            </w14:solidFill>
          </w14:textFill>
        </w:rPr>
        <w:t xml:space="preserve">（四）关于法律责任问题。为保障《办法》有效实施，附则第二十条、第二十一条对不履行有关职责以及义务的行为，明确了应承担的责任，对发生安全事故的主体责任企业实行黑名单制度。   </w:t>
      </w:r>
    </w:p>
    <w:p>
      <w:pPr>
        <w:pStyle w:val="29"/>
        <w:keepNext w:val="0"/>
        <w:keepLines w:val="0"/>
        <w:pageBreakBefore w:val="0"/>
        <w:widowControl/>
        <w:shd w:val="clear" w:color="auto" w:fill="FFFFFF"/>
        <w:kinsoku/>
        <w:wordWrap/>
        <w:overflowPunct/>
        <w:topLinePunct w:val="0"/>
        <w:autoSpaceDE/>
        <w:autoSpaceDN/>
        <w:bidi w:val="0"/>
        <w:adjustRightInd w:val="0"/>
        <w:snapToGrid w:val="0"/>
        <w:spacing w:line="336" w:lineRule="auto"/>
        <w:ind w:firstLine="640" w:firstLineChars="200"/>
        <w:jc w:val="both"/>
        <w:textAlignment w:val="auto"/>
        <w:rPr>
          <w:rFonts w:ascii="黑体" w:hAnsi="黑体" w:eastAsia="黑体"/>
          <w:snapToGrid w:val="0"/>
          <w:color w:val="000000" w:themeColor="text1"/>
          <w:spacing w:val="0"/>
          <w:kern w:val="0"/>
          <w:sz w:val="32"/>
          <w:szCs w:val="30"/>
          <w14:textFill>
            <w14:solidFill>
              <w14:schemeClr w14:val="tx1"/>
            </w14:solidFill>
          </w14:textFill>
        </w:rPr>
      </w:pPr>
      <w:r>
        <w:rPr>
          <w:rFonts w:hint="eastAsia" w:ascii="黑体" w:hAnsi="黑体" w:eastAsia="黑体"/>
          <w:snapToGrid w:val="0"/>
          <w:color w:val="000000" w:themeColor="text1"/>
          <w:spacing w:val="0"/>
          <w:kern w:val="0"/>
          <w:sz w:val="32"/>
          <w:szCs w:val="30"/>
          <w14:textFill>
            <w14:solidFill>
              <w14:schemeClr w14:val="tx1"/>
            </w14:solidFill>
          </w14:textFill>
        </w:rPr>
        <w:t>四、关于合法性和公平竞争性审查情况</w:t>
      </w:r>
    </w:p>
    <w:p>
      <w:pPr>
        <w:pStyle w:val="29"/>
        <w:keepNext w:val="0"/>
        <w:keepLines w:val="0"/>
        <w:pageBreakBefore w:val="0"/>
        <w:widowControl/>
        <w:shd w:val="clear" w:color="auto" w:fill="FFFFFF"/>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spacing w:val="0"/>
          <w:kern w:val="0"/>
          <w:sz w:val="32"/>
          <w:szCs w:val="30"/>
          <w14:textFill>
            <w14:solidFill>
              <w14:schemeClr w14:val="tx1"/>
            </w14:solidFill>
          </w14:textFill>
        </w:rPr>
      </w:pPr>
      <w:r>
        <w:rPr>
          <w:rFonts w:hint="eastAsia" w:ascii="仿宋_GB2312" w:hAnsi="仿宋_GB2312" w:eastAsia="仿宋_GB2312" w:cs="仿宋_GB2312"/>
          <w:snapToGrid w:val="0"/>
          <w:color w:val="000000" w:themeColor="text1"/>
          <w:spacing w:val="0"/>
          <w:kern w:val="0"/>
          <w:sz w:val="32"/>
          <w:szCs w:val="30"/>
          <w14:textFill>
            <w14:solidFill>
              <w14:schemeClr w14:val="tx1"/>
            </w14:solidFill>
          </w14:textFill>
        </w:rPr>
        <w:t>本《办法》提请法宣处与法律顾问进行了合法性审查和公平竞争性审查。经审查，均符合国家和省有关法律法规要求。</w:t>
      </w:r>
    </w:p>
    <w:p>
      <w:pPr>
        <w:pStyle w:val="29"/>
        <w:keepNext w:val="0"/>
        <w:keepLines w:val="0"/>
        <w:pageBreakBefore w:val="0"/>
        <w:widowControl/>
        <w:shd w:val="clear" w:color="auto" w:fill="FFFFFF"/>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spacing w:val="0"/>
          <w:kern w:val="0"/>
          <w:sz w:val="32"/>
          <w:szCs w:val="30"/>
          <w14:textFill>
            <w14:solidFill>
              <w14:schemeClr w14:val="tx1"/>
            </w14:solidFill>
          </w14:textFill>
        </w:rPr>
      </w:pPr>
    </w:p>
    <w:p>
      <w:pPr>
        <w:pStyle w:val="29"/>
        <w:keepNext w:val="0"/>
        <w:keepLines w:val="0"/>
        <w:pageBreakBefore w:val="0"/>
        <w:widowControl/>
        <w:shd w:val="clear" w:color="auto" w:fill="FFFFFF"/>
        <w:kinsoku/>
        <w:wordWrap/>
        <w:overflowPunct/>
        <w:topLinePunct w:val="0"/>
        <w:autoSpaceDE/>
        <w:autoSpaceDN/>
        <w:bidi w:val="0"/>
        <w:adjustRightInd w:val="0"/>
        <w:snapToGrid w:val="0"/>
        <w:spacing w:line="336" w:lineRule="auto"/>
        <w:ind w:firstLine="640" w:firstLineChars="200"/>
        <w:jc w:val="both"/>
        <w:textAlignment w:val="auto"/>
        <w:rPr>
          <w:rFonts w:hint="eastAsia" w:ascii="仿宋_GB2312" w:hAnsi="仿宋_GB2312" w:eastAsia="仿宋_GB2312" w:cs="仿宋_GB2312"/>
          <w:snapToGrid w:val="0"/>
          <w:color w:val="000000" w:themeColor="text1"/>
          <w:spacing w:val="0"/>
          <w:kern w:val="0"/>
          <w:sz w:val="32"/>
          <w:szCs w:val="30"/>
          <w14:textFill>
            <w14:solidFill>
              <w14:schemeClr w14:val="tx1"/>
            </w14:solidFill>
          </w14:textFill>
        </w:rPr>
      </w:pPr>
      <w:bookmarkStart w:id="2" w:name="_GoBack"/>
      <w:bookmarkEnd w:id="2"/>
    </w:p>
    <w:p>
      <w:pPr>
        <w:keepNext w:val="0"/>
        <w:keepLines w:val="0"/>
        <w:pageBreakBefore w:val="0"/>
        <w:widowControl w:val="0"/>
        <w:kinsoku/>
        <w:wordWrap/>
        <w:overflowPunct/>
        <w:topLinePunct w:val="0"/>
        <w:autoSpaceDE/>
        <w:autoSpaceDN/>
        <w:bidi w:val="0"/>
        <w:adjustRightInd w:val="0"/>
        <w:snapToGrid w:val="0"/>
        <w:spacing w:line="216" w:lineRule="auto"/>
        <w:jc w:val="center"/>
        <w:textAlignment w:val="auto"/>
        <w:rPr>
          <w:rFonts w:hint="eastAsia" w:ascii="方正小标宋简体" w:hAnsi="方正小标宋简体" w:eastAsia="方正小标宋简体" w:cs="方正小标宋简体"/>
          <w:snapToGrid w:val="0"/>
          <w:color w:val="000000" w:themeColor="text1"/>
          <w:spacing w:val="0"/>
          <w:kern w:val="0"/>
          <w:sz w:val="44"/>
          <w14:textFill>
            <w14:solidFill>
              <w14:schemeClr w14:val="tx1"/>
            </w14:solidFill>
          </w14:textFill>
        </w:rPr>
      </w:pPr>
      <w:r>
        <w:rPr>
          <w:rFonts w:hint="eastAsia" w:ascii="方正小标宋简体" w:hAnsi="方正小标宋简体" w:eastAsia="方正小标宋简体" w:cs="方正小标宋简体"/>
          <w:snapToGrid w:val="0"/>
          <w:color w:val="000000" w:themeColor="text1"/>
          <w:spacing w:val="0"/>
          <w:kern w:val="0"/>
          <w:sz w:val="44"/>
          <w14:textFill>
            <w14:solidFill>
              <w14:schemeClr w14:val="tx1"/>
            </w14:solidFill>
          </w14:textFill>
        </w:rPr>
        <w:t>山东省单建人防工程施工安全监督管理办法</w:t>
      </w:r>
    </w:p>
    <w:p>
      <w:pPr>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eastAsia" w:ascii="黑体" w:hAnsi="黑体" w:eastAsia="黑体"/>
          <w:snapToGrid w:val="0"/>
          <w:color w:val="000000" w:themeColor="text1"/>
          <w:kern w:val="0"/>
          <w:sz w:val="32"/>
          <w14:textFill>
            <w14:solidFill>
              <w14:schemeClr w14:val="tx1"/>
            </w14:solidFill>
          </w14:textFill>
        </w:rPr>
      </w:pPr>
    </w:p>
    <w:p>
      <w:pPr>
        <w:keepNext w:val="0"/>
        <w:keepLines w:val="0"/>
        <w:pageBreakBefore w:val="0"/>
        <w:widowControl w:val="0"/>
        <w:numPr>
          <w:ilvl w:val="0"/>
          <w:numId w:val="3"/>
        </w:numPr>
        <w:kinsoku/>
        <w:wordWrap/>
        <w:overflowPunct/>
        <w:topLinePunct w:val="0"/>
        <w:autoSpaceDE/>
        <w:autoSpaceDN/>
        <w:bidi w:val="0"/>
        <w:adjustRightInd w:val="0"/>
        <w:snapToGrid w:val="0"/>
        <w:spacing w:line="336" w:lineRule="auto"/>
        <w:jc w:val="center"/>
        <w:textAlignment w:val="auto"/>
        <w:rPr>
          <w:rFonts w:hint="eastAsia" w:ascii="黑体" w:hAnsi="黑体" w:eastAsia="黑体"/>
          <w:snapToGrid w:val="0"/>
          <w:color w:val="000000" w:themeColor="text1"/>
          <w:kern w:val="0"/>
          <w:sz w:val="32"/>
          <w14:textFill>
            <w14:solidFill>
              <w14:schemeClr w14:val="tx1"/>
            </w14:solidFill>
          </w14:textFill>
        </w:rPr>
      </w:pPr>
      <w:r>
        <w:rPr>
          <w:rFonts w:hint="eastAsia" w:ascii="黑体" w:hAnsi="黑体" w:eastAsia="黑体"/>
          <w:snapToGrid w:val="0"/>
          <w:color w:val="000000" w:themeColor="text1"/>
          <w:kern w:val="0"/>
          <w:sz w:val="32"/>
          <w14:textFill>
            <w14:solidFill>
              <w14:schemeClr w14:val="tx1"/>
            </w14:solidFill>
          </w14:textFill>
        </w:rPr>
        <w:t xml:space="preserve"> 总  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jc w:val="both"/>
        <w:textAlignment w:val="auto"/>
        <w:rPr>
          <w:rFonts w:hint="eastAsia" w:ascii="黑体" w:hAnsi="黑体" w:eastAsia="黑体"/>
          <w:snapToGrid w:val="0"/>
          <w:color w:val="000000" w:themeColor="text1"/>
          <w:kern w:val="0"/>
          <w:sz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 w:hAnsi="仿宋" w:eastAsia="仿宋"/>
          <w:snapToGrid w:val="0"/>
          <w:color w:val="000000" w:themeColor="text1"/>
          <w:kern w:val="0"/>
          <w:sz w:val="32"/>
          <w14:textFill>
            <w14:solidFill>
              <w14:schemeClr w14:val="tx1"/>
            </w14:solidFill>
          </w14:textFill>
        </w:rPr>
      </w:pPr>
      <w:r>
        <w:rPr>
          <w:rFonts w:hint="eastAsia" w:ascii="仿宋" w:hAnsi="仿宋" w:eastAsia="仿宋"/>
          <w:snapToGrid w:val="0"/>
          <w:color w:val="000000" w:themeColor="text1"/>
          <w:kern w:val="0"/>
          <w:sz w:val="32"/>
          <w14:textFill>
            <w14:solidFill>
              <w14:schemeClr w14:val="tx1"/>
            </w14:solidFill>
          </w14:textFill>
        </w:rPr>
        <w:t xml:space="preserve">    </w:t>
      </w:r>
      <w:r>
        <w:rPr>
          <w:rFonts w:hint="eastAsia" w:ascii="黑体" w:hAnsi="黑体" w:eastAsia="黑体"/>
          <w:snapToGrid w:val="0"/>
          <w:color w:val="000000" w:themeColor="text1"/>
          <w:kern w:val="0"/>
          <w:sz w:val="32"/>
          <w14:textFill>
            <w14:solidFill>
              <w14:schemeClr w14:val="tx1"/>
            </w14:solidFill>
          </w14:textFill>
        </w:rPr>
        <w:t>第一条</w:t>
      </w:r>
      <w:r>
        <w:rPr>
          <w:rFonts w:hint="eastAsia" w:ascii="仿宋" w:hAnsi="仿宋" w:eastAsia="仿宋"/>
          <w:snapToGrid w:val="0"/>
          <w:color w:val="000000" w:themeColor="text1"/>
          <w:kern w:val="0"/>
          <w:sz w:val="32"/>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14:textFill>
            <w14:solidFill>
              <w14:schemeClr w14:val="tx1"/>
            </w14:solidFill>
          </w14:textFill>
        </w:rPr>
        <w:t xml:space="preserve">为了加强单建人防工程施工安全监督管理，防范安全生产事故，提高人民防空工程的战备效益、社会效益和经济效益，保障和维护人民群众生命和财产安全，依据《中华人民共和国安全生产法》《中华人民共和国人民防空法》《建设工程安全生产管理条例》《山东省安全生产条例》《山东省人民防空工程管理办法》及有关法律、法规，结合本省实际，制定本办法。  </w:t>
      </w:r>
      <w:r>
        <w:rPr>
          <w:rFonts w:hint="eastAsia" w:ascii="仿宋" w:hAnsi="仿宋" w:eastAsia="仿宋"/>
          <w:snapToGrid w:val="0"/>
          <w:color w:val="000000" w:themeColor="text1"/>
          <w:kern w:val="0"/>
          <w:sz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仿宋" w:hAnsi="仿宋" w:eastAsia="仿宋"/>
          <w:snapToGrid w:val="0"/>
          <w:color w:val="000000" w:themeColor="text1"/>
          <w:kern w:val="0"/>
          <w:sz w:val="32"/>
          <w14:textFill>
            <w14:solidFill>
              <w14:schemeClr w14:val="tx1"/>
            </w14:solidFill>
          </w14:textFill>
        </w:rPr>
        <w:t xml:space="preserve">    </w:t>
      </w:r>
      <w:r>
        <w:rPr>
          <w:rFonts w:hint="eastAsia" w:ascii="黑体" w:hAnsi="黑体" w:eastAsia="黑体"/>
          <w:snapToGrid w:val="0"/>
          <w:color w:val="000000" w:themeColor="text1"/>
          <w:kern w:val="0"/>
          <w:sz w:val="32"/>
          <w14:textFill>
            <w14:solidFill>
              <w14:schemeClr w14:val="tx1"/>
            </w14:solidFill>
          </w14:textFill>
        </w:rPr>
        <w:t xml:space="preserve">第二条 </w:t>
      </w:r>
      <w:r>
        <w:rPr>
          <w:rFonts w:hint="eastAsia" w:ascii="仿宋" w:hAnsi="仿宋" w:eastAsia="仿宋"/>
          <w:snapToGrid w:val="0"/>
          <w:color w:val="000000" w:themeColor="text1"/>
          <w:kern w:val="0"/>
          <w:sz w:val="32"/>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14:textFill>
            <w14:solidFill>
              <w14:schemeClr w14:val="tx1"/>
            </w14:solidFill>
          </w14:textFill>
        </w:rPr>
        <w:t>在本省行政区域内从事单建人防工程新建、改建、扩建、加固改造、拆除等活动的建设、勘察、设计、施工、监理、材料设备供应及人防专用设备生产安装等有关单位和个人，以及人民防空主管部门和授权实施安全监督管理单位（机构）适用本办法。</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仿宋_GB2312" w:hAnsi="仿宋_GB2312" w:eastAsia="仿宋_GB2312" w:cs="仿宋_GB2312"/>
          <w:snapToGrid w:val="0"/>
          <w:color w:val="000000" w:themeColor="text1"/>
          <w:kern w:val="0"/>
          <w:sz w:val="32"/>
          <w14:textFill>
            <w14:solidFill>
              <w14:schemeClr w14:val="tx1"/>
            </w14:solidFill>
          </w14:textFill>
        </w:rPr>
        <w:t>本办法所称单建人防工程，是指经依法批准，为保障战时人员与物资掩蔽、人民防空指挥、医疗救护等单独修建的地下防护建筑。</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黑体" w:hAnsi="黑体" w:eastAsia="黑体"/>
          <w:snapToGrid w:val="0"/>
          <w:color w:val="000000" w:themeColor="text1"/>
          <w:kern w:val="0"/>
          <w:sz w:val="32"/>
          <w14:textFill>
            <w14:solidFill>
              <w14:schemeClr w14:val="tx1"/>
            </w14:solidFill>
          </w14:textFill>
        </w:rPr>
        <w:t>第三条</w:t>
      </w:r>
      <w:r>
        <w:rPr>
          <w:rFonts w:hint="eastAsia" w:ascii="仿宋" w:hAnsi="仿宋" w:eastAsia="仿宋"/>
          <w:snapToGrid w:val="0"/>
          <w:color w:val="000000" w:themeColor="text1"/>
          <w:kern w:val="0"/>
          <w:sz w:val="32"/>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14:textFill>
            <w14:solidFill>
              <w14:schemeClr w14:val="tx1"/>
            </w14:solidFill>
          </w14:textFill>
        </w:rPr>
        <w:t>单建人防工程施工安全监督管理工作应当以人为本，坚持安全第一、预防为主、综合治理的方针；坚持属地管理、分级负责、人防部门与相关部门相结合的原则；按照“管行业必须管安全、管业务必须管安全、管生产经营必须管安全”的要求，强化和落实单建人防工程施工阶段安全监督管理单位监管责任和各参建方的安全主体责任。</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仿宋" w:hAnsi="仿宋" w:eastAsia="仿宋"/>
          <w:snapToGrid w:val="0"/>
          <w:color w:val="000000" w:themeColor="text1"/>
          <w:kern w:val="0"/>
          <w:sz w:val="32"/>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14:textFill>
            <w14:solidFill>
              <w14:schemeClr w14:val="tx1"/>
            </w14:solidFill>
          </w14:textFill>
        </w:rPr>
        <w:t>安全责任主体是指参与单建人防工程施工的建设、勘察、设计、施工、监理、材料设备及人防专用设备生产安装等有关单位。</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仿宋_GB2312" w:hAnsi="仿宋_GB2312" w:eastAsia="仿宋_GB2312" w:cs="仿宋_GB2312"/>
          <w:snapToGrid w:val="0"/>
          <w:color w:val="000000" w:themeColor="text1"/>
          <w:kern w:val="0"/>
          <w:sz w:val="32"/>
          <w14:textFill>
            <w14:solidFill>
              <w14:schemeClr w14:val="tx1"/>
            </w14:solidFill>
          </w14:textFill>
        </w:rPr>
        <w:t xml:space="preserve">    安全监督责任主体是指各级人防主管部门及其授权（或委托）的单建人防工程安全监督管理部门或单位（以下简称安全生产监督机构）。</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仿宋" w:hAnsi="仿宋" w:eastAsia="仿宋"/>
          <w:snapToGrid w:val="0"/>
          <w:color w:val="000000" w:themeColor="text1"/>
          <w:kern w:val="0"/>
          <w:sz w:val="32"/>
          <w14:textFill>
            <w14:solidFill>
              <w14:schemeClr w14:val="tx1"/>
            </w14:solidFill>
          </w14:textFill>
        </w:rPr>
        <w:t xml:space="preserve">    </w:t>
      </w:r>
      <w:r>
        <w:rPr>
          <w:rFonts w:hint="eastAsia" w:ascii="黑体" w:hAnsi="黑体" w:eastAsia="黑体"/>
          <w:snapToGrid w:val="0"/>
          <w:color w:val="000000" w:themeColor="text1"/>
          <w:kern w:val="0"/>
          <w:sz w:val="32"/>
          <w14:textFill>
            <w14:solidFill>
              <w14:schemeClr w14:val="tx1"/>
            </w14:solidFill>
          </w14:textFill>
        </w:rPr>
        <w:t>第四条</w:t>
      </w:r>
      <w:r>
        <w:rPr>
          <w:rFonts w:hint="eastAsia" w:ascii="仿宋" w:hAnsi="仿宋" w:eastAsia="仿宋"/>
          <w:snapToGrid w:val="0"/>
          <w:color w:val="000000" w:themeColor="text1"/>
          <w:kern w:val="0"/>
          <w:sz w:val="32"/>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14:textFill>
            <w14:solidFill>
              <w14:schemeClr w14:val="tx1"/>
            </w14:solidFill>
          </w14:textFill>
        </w:rPr>
        <w:t>单建人防工程施工安全应做到科学化、标准化、制度化，推广应用先进技术，提高单建人防工程施工安全水平。</w:t>
      </w:r>
    </w:p>
    <w:p>
      <w:pPr>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eastAsia" w:ascii="黑体" w:hAnsi="黑体" w:eastAsia="黑体"/>
          <w:snapToGrid w:val="0"/>
          <w:color w:val="000000" w:themeColor="text1"/>
          <w:kern w:val="0"/>
          <w:sz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eastAsia" w:ascii="黑体" w:hAnsi="黑体" w:eastAsia="黑体"/>
          <w:snapToGrid w:val="0"/>
          <w:color w:val="000000" w:themeColor="text1"/>
          <w:kern w:val="0"/>
          <w:sz w:val="32"/>
          <w14:textFill>
            <w14:solidFill>
              <w14:schemeClr w14:val="tx1"/>
            </w14:solidFill>
          </w14:textFill>
        </w:rPr>
      </w:pPr>
      <w:r>
        <w:rPr>
          <w:rFonts w:hint="eastAsia" w:ascii="黑体" w:hAnsi="黑体" w:eastAsia="黑体"/>
          <w:snapToGrid w:val="0"/>
          <w:color w:val="000000" w:themeColor="text1"/>
          <w:kern w:val="0"/>
          <w:sz w:val="32"/>
          <w14:textFill>
            <w14:solidFill>
              <w14:schemeClr w14:val="tx1"/>
            </w14:solidFill>
          </w14:textFill>
        </w:rPr>
        <w:t>第二章  施工安全责任</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 w:hAnsi="仿宋" w:eastAsia="仿宋"/>
          <w:snapToGrid w:val="0"/>
          <w:color w:val="000000" w:themeColor="text1"/>
          <w:kern w:val="0"/>
          <w:sz w:val="32"/>
          <w14:textFill>
            <w14:solidFill>
              <w14:schemeClr w14:val="tx1"/>
            </w14:solidFill>
          </w14:textFill>
        </w:rPr>
      </w:pPr>
      <w:r>
        <w:rPr>
          <w:rFonts w:hint="eastAsia" w:ascii="仿宋" w:hAnsi="仿宋" w:eastAsia="仿宋"/>
          <w:snapToGrid w:val="0"/>
          <w:color w:val="000000" w:themeColor="text1"/>
          <w:kern w:val="0"/>
          <w:sz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黑体" w:hAnsi="黑体" w:eastAsia="黑体"/>
          <w:snapToGrid w:val="0"/>
          <w:color w:val="000000" w:themeColor="text1"/>
          <w:kern w:val="0"/>
          <w:sz w:val="32"/>
          <w14:textFill>
            <w14:solidFill>
              <w14:schemeClr w14:val="tx1"/>
            </w14:solidFill>
          </w14:textFill>
        </w:rPr>
        <w:t>第五条</w:t>
      </w:r>
      <w:r>
        <w:rPr>
          <w:rFonts w:hint="eastAsia" w:ascii="仿宋" w:hAnsi="仿宋" w:eastAsia="仿宋"/>
          <w:snapToGrid w:val="0"/>
          <w:color w:val="000000" w:themeColor="text1"/>
          <w:kern w:val="0"/>
          <w:sz w:val="32"/>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14:textFill>
            <w14:solidFill>
              <w14:schemeClr w14:val="tx1"/>
            </w14:solidFill>
          </w14:textFill>
        </w:rPr>
        <w:t>各级人防主管部门依照有关规定，对本行政区域内的单建人防工程施工安全生产工作实施监督管理。</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仿宋_GB2312" w:hAnsi="仿宋_GB2312" w:eastAsia="仿宋_GB2312" w:cs="仿宋_GB2312"/>
          <w:snapToGrid w:val="0"/>
          <w:color w:val="000000" w:themeColor="text1"/>
          <w:kern w:val="0"/>
          <w:sz w:val="32"/>
          <w14:textFill>
            <w14:solidFill>
              <w14:schemeClr w14:val="tx1"/>
            </w14:solidFill>
          </w14:textFill>
        </w:rPr>
        <w:t xml:space="preserve">    （一）贯彻落实上级关于安全生产的有关方针、政策和法律、法规；制定本行政区域内有关单建人防工程施工安全监督管理办法、措施。</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仿宋_GB2312" w:hAnsi="仿宋_GB2312" w:eastAsia="仿宋_GB2312" w:cs="仿宋_GB2312"/>
          <w:snapToGrid w:val="0"/>
          <w:color w:val="000000" w:themeColor="text1"/>
          <w:kern w:val="0"/>
          <w:sz w:val="32"/>
          <w14:textFill>
            <w14:solidFill>
              <w14:schemeClr w14:val="tx1"/>
            </w14:solidFill>
          </w14:textFill>
        </w:rPr>
        <w:t xml:space="preserve">（二）建立和完善单建人防工程施工安全责任制，明确单建人防工程安全生产监管机构。    </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仿宋_GB2312" w:hAnsi="仿宋_GB2312" w:eastAsia="仿宋_GB2312" w:cs="仿宋_GB2312"/>
          <w:snapToGrid w:val="0"/>
          <w:color w:val="000000" w:themeColor="text1"/>
          <w:kern w:val="0"/>
          <w:sz w:val="32"/>
          <w14:textFill>
            <w14:solidFill>
              <w14:schemeClr w14:val="tx1"/>
            </w14:solidFill>
          </w14:textFill>
        </w:rPr>
        <w:t>（三）抽查单建人防工程建设主体责任单位履行安全生产责任情况。</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仿宋_GB2312" w:hAnsi="仿宋_GB2312" w:eastAsia="仿宋_GB2312" w:cs="仿宋_GB2312"/>
          <w:snapToGrid w:val="0"/>
          <w:color w:val="000000" w:themeColor="text1"/>
          <w:kern w:val="0"/>
          <w:sz w:val="32"/>
          <w14:textFill>
            <w14:solidFill>
              <w14:schemeClr w14:val="tx1"/>
            </w14:solidFill>
          </w14:textFill>
        </w:rPr>
        <w:t xml:space="preserve">（四）抽查单建人防工程建设主体责任单位落实法律、法规、规章、制度及工程建设有关标准情况。    </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仿宋_GB2312" w:hAnsi="仿宋_GB2312" w:eastAsia="仿宋_GB2312" w:cs="仿宋_GB2312"/>
          <w:snapToGrid w:val="0"/>
          <w:color w:val="000000" w:themeColor="text1"/>
          <w:kern w:val="0"/>
          <w:sz w:val="32"/>
          <w14:textFill>
            <w14:solidFill>
              <w14:schemeClr w14:val="tx1"/>
            </w14:solidFill>
          </w14:textFill>
        </w:rPr>
        <w:t>（五）抽查单建人防工程施工安全生产标准化开展情况。</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仿宋_GB2312" w:hAnsi="仿宋_GB2312" w:eastAsia="仿宋_GB2312" w:cs="仿宋_GB2312"/>
          <w:snapToGrid w:val="0"/>
          <w:color w:val="000000" w:themeColor="text1"/>
          <w:kern w:val="0"/>
          <w:sz w:val="32"/>
          <w14:textFill>
            <w14:solidFill>
              <w14:schemeClr w14:val="tx1"/>
            </w14:solidFill>
          </w14:textFill>
        </w:rPr>
        <w:t xml:space="preserve">    （六）参与单建人防工程施工安全事故的调查处理工作。</w:t>
      </w:r>
    </w:p>
    <w:p>
      <w:pPr>
        <w:keepNext w:val="0"/>
        <w:keepLines w:val="0"/>
        <w:pageBreakBefore w:val="0"/>
        <w:widowControl w:val="0"/>
        <w:kinsoku/>
        <w:wordWrap/>
        <w:overflowPunct/>
        <w:topLinePunct w:val="0"/>
        <w:autoSpaceDE/>
        <w:autoSpaceDN/>
        <w:bidi w:val="0"/>
        <w:adjustRightInd w:val="0"/>
        <w:snapToGrid w:val="0"/>
        <w:spacing w:line="336" w:lineRule="auto"/>
        <w:ind w:firstLine="660"/>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仿宋_GB2312" w:hAnsi="仿宋_GB2312" w:eastAsia="仿宋_GB2312" w:cs="仿宋_GB2312"/>
          <w:snapToGrid w:val="0"/>
          <w:color w:val="000000" w:themeColor="text1"/>
          <w:kern w:val="0"/>
          <w:sz w:val="32"/>
          <w14:textFill>
            <w14:solidFill>
              <w14:schemeClr w14:val="tx1"/>
            </w14:solidFill>
          </w14:textFill>
        </w:rPr>
        <w:t>（七）依法对单建人防工程建设主体责任单位违法违规行为实施行政处罚。</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仿宋_GB2312" w:hAnsi="仿宋_GB2312" w:eastAsia="仿宋_GB2312" w:cs="仿宋_GB2312"/>
          <w:snapToGrid w:val="0"/>
          <w:color w:val="000000" w:themeColor="text1"/>
          <w:kern w:val="0"/>
          <w:sz w:val="32"/>
          <w14:textFill>
            <w14:solidFill>
              <w14:schemeClr w14:val="tx1"/>
            </w14:solidFill>
          </w14:textFill>
        </w:rPr>
        <w:t xml:space="preserve">    （八）依法处置单建人防工程施工安全投诉、举报问题。    </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黑体" w:hAnsi="黑体" w:eastAsia="黑体"/>
          <w:snapToGrid w:val="0"/>
          <w:color w:val="000000" w:themeColor="text1"/>
          <w:kern w:val="0"/>
          <w:sz w:val="32"/>
          <w14:textFill>
            <w14:solidFill>
              <w14:schemeClr w14:val="tx1"/>
            </w14:solidFill>
          </w14:textFill>
        </w:rPr>
        <w:t xml:space="preserve">    第六条 </w:t>
      </w:r>
      <w:r>
        <w:rPr>
          <w:rFonts w:hint="eastAsia" w:ascii="仿宋" w:hAnsi="仿宋" w:eastAsia="仿宋"/>
          <w:snapToGrid w:val="0"/>
          <w:color w:val="000000" w:themeColor="text1"/>
          <w:kern w:val="0"/>
          <w:sz w:val="32"/>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14:textFill>
            <w14:solidFill>
              <w14:schemeClr w14:val="tx1"/>
            </w14:solidFill>
          </w14:textFill>
        </w:rPr>
        <w:t>单建人防工程安全生产监督机构，在本级人防主管部门的领导下，对单建人防工程施工实施安全生产监督检查工作。</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仿宋_GB2312" w:hAnsi="仿宋_GB2312" w:eastAsia="仿宋_GB2312" w:cs="仿宋_GB2312"/>
          <w:snapToGrid w:val="0"/>
          <w:color w:val="000000" w:themeColor="text1"/>
          <w:kern w:val="0"/>
          <w:sz w:val="32"/>
          <w14:textFill>
            <w14:solidFill>
              <w14:schemeClr w14:val="tx1"/>
            </w14:solidFill>
          </w14:textFill>
        </w:rPr>
        <w:t xml:space="preserve">    （一）受理建设单位申请并办理单建人防工程安全监督手续。</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仿宋_GB2312" w:hAnsi="仿宋_GB2312" w:eastAsia="仿宋_GB2312" w:cs="仿宋_GB2312"/>
          <w:snapToGrid w:val="0"/>
          <w:color w:val="000000" w:themeColor="text1"/>
          <w:kern w:val="0"/>
          <w:sz w:val="32"/>
          <w14:textFill>
            <w14:solidFill>
              <w14:schemeClr w14:val="tx1"/>
            </w14:solidFill>
          </w14:textFill>
        </w:rPr>
        <w:t xml:space="preserve">    （二）制定单建人防工程施工安全监督工作计划并组织实施。</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仿宋_GB2312" w:hAnsi="仿宋_GB2312" w:eastAsia="仿宋_GB2312" w:cs="仿宋_GB2312"/>
          <w:snapToGrid w:val="0"/>
          <w:color w:val="000000" w:themeColor="text1"/>
          <w:kern w:val="0"/>
          <w:sz w:val="32"/>
          <w14:textFill>
            <w14:solidFill>
              <w14:schemeClr w14:val="tx1"/>
            </w14:solidFill>
          </w14:textFill>
        </w:rPr>
        <w:t xml:space="preserve">    （三）实施单建人防工程施工安全监督检查并建立检查台账。</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仿宋_GB2312" w:hAnsi="仿宋_GB2312" w:eastAsia="仿宋_GB2312" w:cs="仿宋_GB2312"/>
          <w:snapToGrid w:val="0"/>
          <w:color w:val="000000" w:themeColor="text1"/>
          <w:kern w:val="0"/>
          <w:sz w:val="32"/>
          <w14:textFill>
            <w14:solidFill>
              <w14:schemeClr w14:val="tx1"/>
            </w14:solidFill>
          </w14:textFill>
        </w:rPr>
        <w:t xml:space="preserve">    （四）评定单建人防工程安全生产风险等级，对存在安全风险和事故隐患的，督促整改并办理终止施工安全监督手续。</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仿宋_GB2312" w:hAnsi="仿宋_GB2312" w:eastAsia="仿宋_GB2312" w:cs="仿宋_GB2312"/>
          <w:snapToGrid w:val="0"/>
          <w:color w:val="000000" w:themeColor="text1"/>
          <w:kern w:val="0"/>
          <w:sz w:val="32"/>
          <w14:textFill>
            <w14:solidFill>
              <w14:schemeClr w14:val="tx1"/>
            </w14:solidFill>
          </w14:textFill>
        </w:rPr>
        <w:t xml:space="preserve">    （五）整理单建人防工程施工安全监督资料并立卷归档。</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仿宋" w:hAnsi="仿宋" w:eastAsia="仿宋"/>
          <w:snapToGrid w:val="0"/>
          <w:color w:val="000000" w:themeColor="text1"/>
          <w:kern w:val="0"/>
          <w:sz w:val="32"/>
          <w14:textFill>
            <w14:solidFill>
              <w14:schemeClr w14:val="tx1"/>
            </w14:solidFill>
          </w14:textFill>
        </w:rPr>
        <w:t xml:space="preserve">    </w:t>
      </w:r>
      <w:r>
        <w:rPr>
          <w:rFonts w:hint="eastAsia" w:ascii="黑体" w:hAnsi="黑体" w:eastAsia="黑体"/>
          <w:snapToGrid w:val="0"/>
          <w:color w:val="000000" w:themeColor="text1"/>
          <w:kern w:val="0"/>
          <w:sz w:val="32"/>
          <w14:textFill>
            <w14:solidFill>
              <w14:schemeClr w14:val="tx1"/>
            </w14:solidFill>
          </w14:textFill>
        </w:rPr>
        <w:t>第七条</w:t>
      </w:r>
      <w:r>
        <w:rPr>
          <w:rFonts w:hint="eastAsia" w:ascii="仿宋" w:hAnsi="仿宋" w:eastAsia="仿宋"/>
          <w:snapToGrid w:val="0"/>
          <w:color w:val="000000" w:themeColor="text1"/>
          <w:kern w:val="0"/>
          <w:sz w:val="32"/>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14:textFill>
            <w14:solidFill>
              <w14:schemeClr w14:val="tx1"/>
            </w14:solidFill>
          </w14:textFill>
        </w:rPr>
        <w:t>参与单建人防工程项目的建设、勘察、设计、施工、监理、材料设备供应及人防专用设备生产安装等有关单位，按照有关法律、法规，应当承担人防工程安全主体责任外，还应按下列规定，对施工安全承担相应主体责任。</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仿宋_GB2312" w:hAnsi="仿宋_GB2312" w:eastAsia="仿宋_GB2312" w:cs="仿宋_GB2312"/>
          <w:snapToGrid w:val="0"/>
          <w:color w:val="000000" w:themeColor="text1"/>
          <w:kern w:val="0"/>
          <w:sz w:val="32"/>
          <w14:textFill>
            <w14:solidFill>
              <w14:schemeClr w14:val="tx1"/>
            </w14:solidFill>
          </w14:textFill>
        </w:rPr>
        <w:t xml:space="preserve">    （一）建设单位在项目开工前，应向安全生产监督机构提供有关安全施工措施资料，向施工单位足额支付单建人防工程安全防护文明施工措施费，组织制定单建人防工程安全生产措施承诺书，并依法办理安全生产监督手续。</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仿宋_GB2312" w:hAnsi="仿宋_GB2312" w:eastAsia="仿宋_GB2312" w:cs="仿宋_GB2312"/>
          <w:snapToGrid w:val="0"/>
          <w:color w:val="000000" w:themeColor="text1"/>
          <w:kern w:val="0"/>
          <w:sz w:val="32"/>
          <w14:textFill>
            <w14:solidFill>
              <w14:schemeClr w14:val="tx1"/>
            </w14:solidFill>
          </w14:textFill>
        </w:rPr>
        <w:t xml:space="preserve">    （二）施工单位应依法取得相应等级的资质证书，在其资质等级许可的范围内承揽单建人防工程，并对单建人防工程建设项目施工安全承担相应主体责任。</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仿宋_GB2312" w:hAnsi="仿宋_GB2312" w:eastAsia="仿宋_GB2312" w:cs="仿宋_GB2312"/>
          <w:snapToGrid w:val="0"/>
          <w:color w:val="000000" w:themeColor="text1"/>
          <w:kern w:val="0"/>
          <w:sz w:val="32"/>
          <w14:textFill>
            <w14:solidFill>
              <w14:schemeClr w14:val="tx1"/>
            </w14:solidFill>
          </w14:textFill>
        </w:rPr>
        <w:t xml:space="preserve">    在施工组织管理计划中，应根据有关法律法规、强制性标准和技术规范的要求，结合工程的具体情况制定安全技术措施方案。</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仿宋_GB2312" w:hAnsi="仿宋_GB2312" w:eastAsia="仿宋_GB2312" w:cs="仿宋_GB2312"/>
          <w:snapToGrid w:val="0"/>
          <w:color w:val="000000" w:themeColor="text1"/>
          <w:kern w:val="0"/>
          <w:sz w:val="32"/>
          <w14:textFill>
            <w14:solidFill>
              <w14:schemeClr w14:val="tx1"/>
            </w14:solidFill>
          </w14:textFill>
        </w:rPr>
        <w:t xml:space="preserve">    单建人防工程施工中涉及的危大工程（即危险性较大的分部分项工程），按照国家和省有关法规规定执行。</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仿宋" w:hAnsi="仿宋" w:eastAsia="仿宋"/>
          <w:snapToGrid w:val="0"/>
          <w:color w:val="000000" w:themeColor="text1"/>
          <w:kern w:val="0"/>
          <w:sz w:val="32"/>
          <w14:textFill>
            <w14:solidFill>
              <w14:schemeClr w14:val="tx1"/>
            </w14:solidFill>
          </w14:textFill>
        </w:rPr>
        <w:t xml:space="preserve">   </w:t>
      </w:r>
      <w:r>
        <w:rPr>
          <w:rFonts w:hint="eastAsia" w:ascii="仿宋" w:hAnsi="仿宋" w:eastAsia="仿宋"/>
          <w:snapToGrid w:val="0"/>
          <w:color w:val="000000" w:themeColor="text1"/>
          <w:kern w:val="0"/>
          <w:sz w:val="32"/>
          <w:lang w:val="en-US" w:eastAsia="zh-CN"/>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14:textFill>
            <w14:solidFill>
              <w14:schemeClr w14:val="tx1"/>
            </w14:solidFill>
          </w14:textFill>
        </w:rPr>
        <w:t>（三）监理单位要按照法律、法规和工程建设强制性标准实施监理，配齐配全监理人员，并对单建人防工程项目施工安全承担相应主体责任。</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仿宋_GB2312" w:hAnsi="仿宋_GB2312" w:eastAsia="仿宋_GB2312" w:cs="仿宋_GB2312"/>
          <w:snapToGrid w:val="0"/>
          <w:color w:val="000000" w:themeColor="text1"/>
          <w:kern w:val="0"/>
          <w:sz w:val="32"/>
          <w14:textFill>
            <w14:solidFill>
              <w14:schemeClr w14:val="tx1"/>
            </w14:solidFill>
          </w14:textFill>
        </w:rPr>
        <w:t xml:space="preserve">    监理单位应健全安全监理工作制度，制定安全监理专项方案，认真审查核验施工单位安全生产技术措施，并组织监督实施，严格落实安全例会、巡查、整改通知单及验收等技术管理制度。</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仿宋_GB2312" w:hAnsi="仿宋_GB2312" w:eastAsia="仿宋_GB2312" w:cs="仿宋_GB2312"/>
          <w:snapToGrid w:val="0"/>
          <w:color w:val="000000" w:themeColor="text1"/>
          <w:kern w:val="0"/>
          <w:sz w:val="32"/>
          <w14:textFill>
            <w14:solidFill>
              <w14:schemeClr w14:val="tx1"/>
            </w14:solidFill>
          </w14:textFill>
        </w:rPr>
        <w:t xml:space="preserve">    （四）勘察、设计、材料设备供应及人防专用设备生产安装等有关单位，必须按照相关法律、法规的规定做好有关工作，确保单建人防工程施工安全，并承担各自相应的主体责任。</w:t>
      </w:r>
    </w:p>
    <w:p>
      <w:pPr>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eastAsia" w:ascii="黑体" w:hAnsi="黑体" w:eastAsia="黑体"/>
          <w:snapToGrid w:val="0"/>
          <w:color w:val="000000" w:themeColor="text1"/>
          <w:kern w:val="0"/>
          <w:sz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eastAsia" w:ascii="仿宋" w:hAnsi="仿宋" w:eastAsia="仿宋"/>
          <w:snapToGrid w:val="0"/>
          <w:color w:val="000000" w:themeColor="text1"/>
          <w:kern w:val="0"/>
          <w:sz w:val="32"/>
          <w14:textFill>
            <w14:solidFill>
              <w14:schemeClr w14:val="tx1"/>
            </w14:solidFill>
          </w14:textFill>
        </w:rPr>
      </w:pPr>
      <w:r>
        <w:rPr>
          <w:rFonts w:hint="eastAsia" w:ascii="黑体" w:hAnsi="黑体" w:eastAsia="黑体"/>
          <w:snapToGrid w:val="0"/>
          <w:color w:val="000000" w:themeColor="text1"/>
          <w:kern w:val="0"/>
          <w:sz w:val="32"/>
          <w14:textFill>
            <w14:solidFill>
              <w14:schemeClr w14:val="tx1"/>
            </w14:solidFill>
          </w14:textFill>
        </w:rPr>
        <w:t xml:space="preserve">第三章 </w:t>
      </w:r>
      <w:r>
        <w:rPr>
          <w:rFonts w:hint="eastAsia" w:ascii="黑体" w:hAnsi="黑体" w:eastAsia="黑体"/>
          <w:snapToGrid w:val="0"/>
          <w:color w:val="000000" w:themeColor="text1"/>
          <w:kern w:val="0"/>
          <w:sz w:val="32"/>
          <w:lang w:val="en-US" w:eastAsia="zh-CN"/>
          <w14:textFill>
            <w14:solidFill>
              <w14:schemeClr w14:val="tx1"/>
            </w14:solidFill>
          </w14:textFill>
        </w:rPr>
        <w:t xml:space="preserve"> </w:t>
      </w:r>
      <w:r>
        <w:rPr>
          <w:rFonts w:hint="eastAsia" w:ascii="黑体" w:hAnsi="黑体" w:eastAsia="黑体"/>
          <w:snapToGrid w:val="0"/>
          <w:color w:val="000000" w:themeColor="text1"/>
          <w:kern w:val="0"/>
          <w:sz w:val="32"/>
          <w14:textFill>
            <w14:solidFill>
              <w14:schemeClr w14:val="tx1"/>
            </w14:solidFill>
          </w14:textFill>
        </w:rPr>
        <w:t>现场监督管理主要内容</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 w:hAnsi="仿宋" w:eastAsia="仿宋"/>
          <w:snapToGrid w:val="0"/>
          <w:color w:val="000000" w:themeColor="text1"/>
          <w:kern w:val="0"/>
          <w:sz w:val="32"/>
          <w14:textFill>
            <w14:solidFill>
              <w14:schemeClr w14:val="tx1"/>
            </w14:solidFill>
          </w14:textFill>
        </w:rPr>
      </w:pPr>
      <w:r>
        <w:rPr>
          <w:rFonts w:hint="eastAsia" w:ascii="仿宋" w:hAnsi="仿宋" w:eastAsia="仿宋"/>
          <w:snapToGrid w:val="0"/>
          <w:color w:val="000000" w:themeColor="text1"/>
          <w:kern w:val="0"/>
          <w:sz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黑体" w:hAnsi="黑体" w:eastAsia="黑体"/>
          <w:snapToGrid w:val="0"/>
          <w:color w:val="000000" w:themeColor="text1"/>
          <w:kern w:val="0"/>
          <w:sz w:val="32"/>
          <w14:textFill>
            <w14:solidFill>
              <w14:schemeClr w14:val="tx1"/>
            </w14:solidFill>
          </w14:textFill>
        </w:rPr>
        <w:t>第八条</w:t>
      </w:r>
      <w:r>
        <w:rPr>
          <w:rFonts w:hint="eastAsia" w:ascii="仿宋" w:hAnsi="仿宋" w:eastAsia="仿宋"/>
          <w:snapToGrid w:val="0"/>
          <w:color w:val="000000" w:themeColor="text1"/>
          <w:kern w:val="0"/>
          <w:sz w:val="32"/>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14:textFill>
            <w14:solidFill>
              <w14:schemeClr w14:val="tx1"/>
            </w14:solidFill>
          </w14:textFill>
        </w:rPr>
        <w:t>单建人防工程开工前，必须按规定办理施工许可证或开工报告。依法批准开工报告前，应对建设单位提供的安全监督手续、施工安全监管机制、各项安全生产条件和安全专项施工方案及专家评审意见等有关安全资料进行认真审查。开工报告颁发后，安全生产监督机构应按当地安委会及相关部门的要求，做好单建人防工程安全监督管理工作。</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仿宋" w:hAnsi="仿宋" w:eastAsia="仿宋"/>
          <w:snapToGrid w:val="0"/>
          <w:color w:val="000000" w:themeColor="text1"/>
          <w:kern w:val="0"/>
          <w:sz w:val="32"/>
          <w14:textFill>
            <w14:solidFill>
              <w14:schemeClr w14:val="tx1"/>
            </w14:solidFill>
          </w14:textFill>
        </w:rPr>
        <w:t xml:space="preserve">    </w:t>
      </w:r>
      <w:r>
        <w:rPr>
          <w:rFonts w:hint="eastAsia" w:ascii="黑体" w:hAnsi="黑体" w:eastAsia="黑体"/>
          <w:snapToGrid w:val="0"/>
          <w:color w:val="000000" w:themeColor="text1"/>
          <w:kern w:val="0"/>
          <w:sz w:val="32"/>
          <w14:textFill>
            <w14:solidFill>
              <w14:schemeClr w14:val="tx1"/>
            </w14:solidFill>
          </w14:textFill>
        </w:rPr>
        <w:t>第九条</w:t>
      </w:r>
      <w:r>
        <w:rPr>
          <w:rFonts w:hint="eastAsia" w:ascii="仿宋" w:hAnsi="仿宋" w:eastAsia="仿宋"/>
          <w:snapToGrid w:val="0"/>
          <w:color w:val="000000" w:themeColor="text1"/>
          <w:kern w:val="0"/>
          <w:sz w:val="32"/>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14:textFill>
            <w14:solidFill>
              <w14:schemeClr w14:val="tx1"/>
            </w14:solidFill>
          </w14:textFill>
        </w:rPr>
        <w:t xml:space="preserve"> 安全生产监督机构应根据工程项目实际情况，制定《单建人防工程安全监督工作计划》，明确监督内容、抽查频次、监督措施等。对存在安全风险较大和巡查检查中发现安全隐患较多的工程项目，应当提出停工整改通知，调整监督工作计划，增加抽查次数，切实排除事故隐患。</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仿宋" w:hAnsi="仿宋" w:eastAsia="仿宋"/>
          <w:snapToGrid w:val="0"/>
          <w:color w:val="000000" w:themeColor="text1"/>
          <w:kern w:val="0"/>
          <w:sz w:val="32"/>
          <w14:textFill>
            <w14:solidFill>
              <w14:schemeClr w14:val="tx1"/>
            </w14:solidFill>
          </w14:textFill>
        </w:rPr>
        <w:t xml:space="preserve">    </w:t>
      </w:r>
      <w:r>
        <w:rPr>
          <w:rFonts w:hint="eastAsia" w:ascii="黑体" w:hAnsi="黑体" w:eastAsia="黑体"/>
          <w:snapToGrid w:val="0"/>
          <w:color w:val="000000" w:themeColor="text1"/>
          <w:kern w:val="0"/>
          <w:sz w:val="32"/>
          <w14:textFill>
            <w14:solidFill>
              <w14:schemeClr w14:val="tx1"/>
            </w14:solidFill>
          </w14:textFill>
        </w:rPr>
        <w:t>第十条</w:t>
      </w:r>
      <w:r>
        <w:rPr>
          <w:rFonts w:hint="eastAsia" w:ascii="仿宋" w:hAnsi="仿宋" w:eastAsia="仿宋"/>
          <w:snapToGrid w:val="0"/>
          <w:color w:val="000000" w:themeColor="text1"/>
          <w:kern w:val="0"/>
          <w:sz w:val="32"/>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14:textFill>
            <w14:solidFill>
              <w14:schemeClr w14:val="tx1"/>
            </w14:solidFill>
          </w14:textFill>
        </w:rPr>
        <w:t>安全生产监督机构对已办理安全监督手续并取得开工报告的单建人防工程项目，应当组织对建设、勘察、设计、施工、监理、材料设备供应、人防专用设备生产安装等有关单位及人员落实安全生产主体责任情况进行安全监督检查，及时提出安全监督要求。</w:t>
      </w:r>
    </w:p>
    <w:p>
      <w:pPr>
        <w:keepNext w:val="0"/>
        <w:keepLines w:val="0"/>
        <w:pageBreakBefore w:val="0"/>
        <w:widowControl w:val="0"/>
        <w:kinsoku/>
        <w:wordWrap/>
        <w:overflowPunct/>
        <w:topLinePunct w:val="0"/>
        <w:autoSpaceDE/>
        <w:autoSpaceDN/>
        <w:bidi w:val="0"/>
        <w:adjustRightInd w:val="0"/>
        <w:snapToGrid w:val="0"/>
        <w:spacing w:line="336" w:lineRule="auto"/>
        <w:ind w:firstLine="640"/>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黑体" w:hAnsi="黑体" w:eastAsia="黑体"/>
          <w:snapToGrid w:val="0"/>
          <w:color w:val="000000" w:themeColor="text1"/>
          <w:kern w:val="0"/>
          <w:sz w:val="32"/>
          <w14:textFill>
            <w14:solidFill>
              <w14:schemeClr w14:val="tx1"/>
            </w14:solidFill>
          </w14:textFill>
        </w:rPr>
        <w:t>第十一条</w:t>
      </w:r>
      <w:r>
        <w:rPr>
          <w:rFonts w:hint="eastAsia" w:ascii="仿宋" w:hAnsi="仿宋" w:eastAsia="仿宋"/>
          <w:snapToGrid w:val="0"/>
          <w:color w:val="000000" w:themeColor="text1"/>
          <w:kern w:val="0"/>
          <w:sz w:val="32"/>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14:textFill>
            <w14:solidFill>
              <w14:schemeClr w14:val="tx1"/>
            </w14:solidFill>
          </w14:textFill>
        </w:rPr>
        <w:t>安全监督管理工作，应当依据安全生产有关法律、法规和工程建设强制性标准，采取日常巡查和节点到位式抽查相结合的方式进行。重点监督检查各参建主体责任单位的从业资质、安全措施、技术资料、现场文明施工管理、现场实体防护安全和安全生产标准化开展情况等。</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黑体" w:hAnsi="黑体" w:eastAsia="黑体"/>
          <w:snapToGrid w:val="0"/>
          <w:color w:val="000000" w:themeColor="text1"/>
          <w:kern w:val="0"/>
          <w:sz w:val="32"/>
          <w14:textFill>
            <w14:solidFill>
              <w14:schemeClr w14:val="tx1"/>
            </w14:solidFill>
          </w14:textFill>
        </w:rPr>
        <w:t>第十二条</w:t>
      </w:r>
      <w:r>
        <w:rPr>
          <w:rFonts w:hint="eastAsia" w:ascii="仿宋" w:hAnsi="仿宋" w:eastAsia="仿宋"/>
          <w:snapToGrid w:val="0"/>
          <w:color w:val="000000" w:themeColor="text1"/>
          <w:kern w:val="0"/>
          <w:sz w:val="32"/>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14:textFill>
            <w14:solidFill>
              <w14:schemeClr w14:val="tx1"/>
            </w14:solidFill>
          </w14:textFill>
        </w:rPr>
        <w:t>安全监督时限自相关工程办理安全监督手续并取得开工报告起，至《单建人防工程终止安全监督告知书》下达之日止。</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仿宋" w:hAnsi="仿宋" w:eastAsia="仿宋"/>
          <w:snapToGrid w:val="0"/>
          <w:color w:val="000000" w:themeColor="text1"/>
          <w:kern w:val="0"/>
          <w:sz w:val="32"/>
          <w14:textFill>
            <w14:solidFill>
              <w14:schemeClr w14:val="tx1"/>
            </w14:solidFill>
          </w14:textFill>
        </w:rPr>
        <w:t xml:space="preserve">    </w:t>
      </w:r>
      <w:r>
        <w:rPr>
          <w:rFonts w:hint="eastAsia" w:ascii="黑体" w:hAnsi="黑体" w:eastAsia="黑体"/>
          <w:snapToGrid w:val="0"/>
          <w:color w:val="000000" w:themeColor="text1"/>
          <w:kern w:val="0"/>
          <w:sz w:val="32"/>
          <w14:textFill>
            <w14:solidFill>
              <w14:schemeClr w14:val="tx1"/>
            </w14:solidFill>
          </w14:textFill>
        </w:rPr>
        <w:t>第十三条</w:t>
      </w:r>
      <w:r>
        <w:rPr>
          <w:rFonts w:hint="eastAsia" w:ascii="仿宋" w:hAnsi="仿宋" w:eastAsia="仿宋"/>
          <w:snapToGrid w:val="0"/>
          <w:color w:val="000000" w:themeColor="text1"/>
          <w:kern w:val="0"/>
          <w:sz w:val="32"/>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14:textFill>
            <w14:solidFill>
              <w14:schemeClr w14:val="tx1"/>
            </w14:solidFill>
          </w14:textFill>
        </w:rPr>
        <w:t>单建人防工</w:t>
      </w:r>
      <w:r>
        <w:rPr>
          <w:rFonts w:hint="eastAsia" w:ascii="仿宋_GB2312" w:hAnsi="仿宋_GB2312" w:cs="仿宋_GB2312"/>
          <w:snapToGrid w:val="0"/>
          <w:color w:val="000000" w:themeColor="text1"/>
          <w:kern w:val="0"/>
          <w:sz w:val="32"/>
          <w:lang w:eastAsia="zh-CN"/>
          <w14:textFill>
            <w14:solidFill>
              <w14:schemeClr w14:val="tx1"/>
            </w14:solidFill>
          </w14:textFill>
        </w:rPr>
        <w:t>程</w:t>
      </w:r>
      <w:r>
        <w:rPr>
          <w:rFonts w:hint="eastAsia" w:ascii="仿宋_GB2312" w:hAnsi="仿宋_GB2312" w:eastAsia="仿宋_GB2312" w:cs="仿宋_GB2312"/>
          <w:snapToGrid w:val="0"/>
          <w:color w:val="000000" w:themeColor="text1"/>
          <w:kern w:val="0"/>
          <w:sz w:val="32"/>
          <w14:textFill>
            <w14:solidFill>
              <w14:schemeClr w14:val="tx1"/>
            </w14:solidFill>
          </w14:textFill>
        </w:rPr>
        <w:t>项目因故中止施工的，建设单位应当向安全生产监督机构申请办理中止施工安全监督手续，并提交中止施工的时间、原因、在施部位及安全保障措施等资料。</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仿宋_GB2312" w:hAnsi="仿宋_GB2312" w:eastAsia="仿宋_GB2312" w:cs="仿宋_GB2312"/>
          <w:snapToGrid w:val="0"/>
          <w:color w:val="000000" w:themeColor="text1"/>
          <w:kern w:val="0"/>
          <w:sz w:val="32"/>
          <w14:textFill>
            <w14:solidFill>
              <w14:schemeClr w14:val="tx1"/>
            </w14:solidFill>
          </w14:textFill>
        </w:rPr>
        <w:t xml:space="preserve">    安全生产监督机构收到建设单位提交的中止施工申请资料后，经查验符合要求的，应当在5个工作日内向建设单位发放《单建人防工程中止施工安全监督告知书》。安全生产监督机构对工程项目中止施工期间不实施工程安全监督。</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仿宋" w:hAnsi="仿宋" w:eastAsia="仿宋"/>
          <w:snapToGrid w:val="0"/>
          <w:color w:val="000000" w:themeColor="text1"/>
          <w:kern w:val="0"/>
          <w:sz w:val="32"/>
          <w14:textFill>
            <w14:solidFill>
              <w14:schemeClr w14:val="tx1"/>
            </w14:solidFill>
          </w14:textFill>
        </w:rPr>
        <w:t xml:space="preserve">    </w:t>
      </w:r>
      <w:r>
        <w:rPr>
          <w:rFonts w:hint="eastAsia" w:ascii="黑体" w:hAnsi="黑体" w:eastAsia="黑体"/>
          <w:snapToGrid w:val="0"/>
          <w:color w:val="000000" w:themeColor="text1"/>
          <w:kern w:val="0"/>
          <w:sz w:val="32"/>
          <w14:textFill>
            <w14:solidFill>
              <w14:schemeClr w14:val="tx1"/>
            </w14:solidFill>
          </w14:textFill>
        </w:rPr>
        <w:t>第十四条</w:t>
      </w:r>
      <w:r>
        <w:rPr>
          <w:rFonts w:hint="eastAsia" w:ascii="仿宋" w:hAnsi="仿宋" w:eastAsia="仿宋"/>
          <w:snapToGrid w:val="0"/>
          <w:color w:val="000000" w:themeColor="text1"/>
          <w:kern w:val="0"/>
          <w:sz w:val="32"/>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14:textFill>
            <w14:solidFill>
              <w14:schemeClr w14:val="tx1"/>
            </w14:solidFill>
          </w14:textFill>
        </w:rPr>
        <w:t>中止施工的单建人防工程项目恢复施工前，建设单位应当向安全生产监督机构申请办理恢复施工安全监督手续，并提交经建设、监理、施工单位项目负责人签字并加盖单位公章的复工条件验收报告。</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仿宋_GB2312" w:hAnsi="仿宋_GB2312" w:eastAsia="仿宋_GB2312" w:cs="仿宋_GB2312"/>
          <w:snapToGrid w:val="0"/>
          <w:color w:val="000000" w:themeColor="text1"/>
          <w:kern w:val="0"/>
          <w:sz w:val="32"/>
          <w14:textFill>
            <w14:solidFill>
              <w14:schemeClr w14:val="tx1"/>
            </w14:solidFill>
          </w14:textFill>
        </w:rPr>
        <w:t xml:space="preserve">    安全生产监督机构收到建设单位提交的复工条件验收报告后，经查验符合复工条件的，应当在5个工作日内向建设单位发放《单建人防工程恢复施工安全监督告知书》，对工程项目恢复实施安全监督。</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仿宋" w:hAnsi="仿宋" w:eastAsia="仿宋"/>
          <w:snapToGrid w:val="0"/>
          <w:color w:val="000000" w:themeColor="text1"/>
          <w:kern w:val="0"/>
          <w:sz w:val="32"/>
          <w14:textFill>
            <w14:solidFill>
              <w14:schemeClr w14:val="tx1"/>
            </w14:solidFill>
          </w14:textFill>
        </w:rPr>
        <w:t xml:space="preserve">    </w:t>
      </w:r>
      <w:r>
        <w:rPr>
          <w:rFonts w:hint="eastAsia" w:ascii="黑体" w:hAnsi="黑体" w:eastAsia="黑体"/>
          <w:snapToGrid w:val="0"/>
          <w:color w:val="000000" w:themeColor="text1"/>
          <w:kern w:val="0"/>
          <w:sz w:val="32"/>
          <w14:textFill>
            <w14:solidFill>
              <w14:schemeClr w14:val="tx1"/>
            </w14:solidFill>
          </w14:textFill>
        </w:rPr>
        <w:t>第十五条</w:t>
      </w:r>
      <w:r>
        <w:rPr>
          <w:rFonts w:hint="eastAsia" w:ascii="仿宋" w:hAnsi="仿宋" w:eastAsia="仿宋"/>
          <w:snapToGrid w:val="0"/>
          <w:color w:val="000000" w:themeColor="text1"/>
          <w:kern w:val="0"/>
          <w:sz w:val="32"/>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14:textFill>
            <w14:solidFill>
              <w14:schemeClr w14:val="tx1"/>
            </w14:solidFill>
          </w14:textFill>
        </w:rPr>
        <w:t>单建人防工程项目完工办理竣工验收前，建设单位应当向安全生产监督机构申请办理终止安全监督手续，并提交经建设、监理、施工单位确认的工程施工结束证明，施工单位应当提交经建设、监理单位审核的项目安全生产标准化自评报告材料。</w:t>
      </w:r>
    </w:p>
    <w:p>
      <w:pPr>
        <w:keepNext w:val="0"/>
        <w:keepLines w:val="0"/>
        <w:pageBreakBefore w:val="0"/>
        <w:widowControl w:val="0"/>
        <w:kinsoku/>
        <w:wordWrap/>
        <w:overflowPunct/>
        <w:topLinePunct w:val="0"/>
        <w:autoSpaceDE/>
        <w:autoSpaceDN/>
        <w:bidi w:val="0"/>
        <w:adjustRightInd w:val="0"/>
        <w:snapToGrid w:val="0"/>
        <w:spacing w:line="336" w:lineRule="auto"/>
        <w:ind w:firstLine="660"/>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仿宋_GB2312" w:hAnsi="仿宋_GB2312" w:eastAsia="仿宋_GB2312" w:cs="仿宋_GB2312"/>
          <w:snapToGrid w:val="0"/>
          <w:color w:val="000000" w:themeColor="text1"/>
          <w:kern w:val="0"/>
          <w:sz w:val="32"/>
          <w14:textFill>
            <w14:solidFill>
              <w14:schemeClr w14:val="tx1"/>
            </w14:solidFill>
          </w14:textFill>
        </w:rPr>
        <w:t>安全生产监督机构收到建设单位提交的资料后，经查验符合要求的，在5个工作日内向建设单位发放《单建人防工程终止安全监督告知书》，同时终止对工程项目的安全监督。工程项目终止施工安全监督后，安全生产监督机构应当整理工程项目的施工安全监督资料，包括监督文书、抽查记录、项目安全生产标准化自评报告材料等，形成工程项目施工安全监督档案。</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仿宋" w:hAnsi="仿宋" w:eastAsia="仿宋"/>
          <w:snapToGrid w:val="0"/>
          <w:color w:val="000000" w:themeColor="text1"/>
          <w:kern w:val="0"/>
          <w:sz w:val="32"/>
          <w14:textFill>
            <w14:solidFill>
              <w14:schemeClr w14:val="tx1"/>
            </w14:solidFill>
          </w14:textFill>
        </w:rPr>
        <w:t xml:space="preserve">    </w:t>
      </w:r>
      <w:r>
        <w:rPr>
          <w:rFonts w:hint="eastAsia" w:ascii="黑体" w:hAnsi="黑体" w:eastAsia="黑体"/>
          <w:snapToGrid w:val="0"/>
          <w:color w:val="000000" w:themeColor="text1"/>
          <w:kern w:val="0"/>
          <w:sz w:val="32"/>
          <w14:textFill>
            <w14:solidFill>
              <w14:schemeClr w14:val="tx1"/>
            </w14:solidFill>
          </w14:textFill>
        </w:rPr>
        <w:t>第十六条</w:t>
      </w:r>
      <w:r>
        <w:rPr>
          <w:rFonts w:hint="eastAsia" w:ascii="仿宋" w:hAnsi="仿宋" w:eastAsia="仿宋"/>
          <w:snapToGrid w:val="0"/>
          <w:color w:val="000000" w:themeColor="text1"/>
          <w:kern w:val="0"/>
          <w:sz w:val="32"/>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14:textFill>
            <w14:solidFill>
              <w14:schemeClr w14:val="tx1"/>
            </w14:solidFill>
          </w14:textFill>
        </w:rPr>
        <w:t>安全生产监督人员在抽查过程中，发现存在安全生产隐患的问题，应当责令立即整改；无法立即整改的，下达《单建人防工程限期整改通知书》，责令限期整改；安全生产隐患排除过程中无法保证安全的，下达《</w:t>
      </w:r>
      <w:bookmarkStart w:id="0" w:name="_Hlk44322434"/>
      <w:r>
        <w:rPr>
          <w:rFonts w:hint="eastAsia" w:ascii="仿宋_GB2312" w:hAnsi="仿宋_GB2312" w:eastAsia="仿宋_GB2312" w:cs="仿宋_GB2312"/>
          <w:snapToGrid w:val="0"/>
          <w:color w:val="000000" w:themeColor="text1"/>
          <w:kern w:val="0"/>
          <w:sz w:val="32"/>
          <w14:textFill>
            <w14:solidFill>
              <w14:schemeClr w14:val="tx1"/>
            </w14:solidFill>
          </w14:textFill>
        </w:rPr>
        <w:t>单建人防工程停工整改通知书</w:t>
      </w:r>
      <w:bookmarkEnd w:id="0"/>
      <w:r>
        <w:rPr>
          <w:rFonts w:hint="eastAsia" w:ascii="仿宋_GB2312" w:hAnsi="仿宋_GB2312" w:eastAsia="仿宋_GB2312" w:cs="仿宋_GB2312"/>
          <w:snapToGrid w:val="0"/>
          <w:color w:val="000000" w:themeColor="text1"/>
          <w:kern w:val="0"/>
          <w:sz w:val="32"/>
          <w14:textFill>
            <w14:solidFill>
              <w14:schemeClr w14:val="tx1"/>
            </w14:solidFill>
          </w14:textFill>
        </w:rPr>
        <w:t>》，责令立即从危险区域内撤出作业人员。</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仿宋" w:hAnsi="仿宋" w:eastAsia="仿宋"/>
          <w:snapToGrid w:val="0"/>
          <w:color w:val="000000" w:themeColor="text1"/>
          <w:kern w:val="0"/>
          <w:sz w:val="32"/>
          <w14:textFill>
            <w14:solidFill>
              <w14:schemeClr w14:val="tx1"/>
            </w14:solidFill>
          </w14:textFill>
        </w:rPr>
        <w:t xml:space="preserve">    </w:t>
      </w:r>
      <w:r>
        <w:rPr>
          <w:rFonts w:hint="eastAsia" w:ascii="黑体" w:hAnsi="黑体" w:eastAsia="黑体"/>
          <w:snapToGrid w:val="0"/>
          <w:color w:val="000000" w:themeColor="text1"/>
          <w:kern w:val="0"/>
          <w:sz w:val="32"/>
          <w14:textFill>
            <w14:solidFill>
              <w14:schemeClr w14:val="tx1"/>
            </w14:solidFill>
          </w14:textFill>
        </w:rPr>
        <w:t>第十七条</w:t>
      </w:r>
      <w:r>
        <w:rPr>
          <w:rFonts w:hint="eastAsia" w:ascii="仿宋" w:hAnsi="仿宋" w:eastAsia="仿宋"/>
          <w:snapToGrid w:val="0"/>
          <w:color w:val="000000" w:themeColor="text1"/>
          <w:kern w:val="0"/>
          <w:sz w:val="32"/>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14:textFill>
            <w14:solidFill>
              <w14:schemeClr w14:val="tx1"/>
            </w14:solidFill>
          </w14:textFill>
        </w:rPr>
        <w:t>被责令限期整改、停工整改的单建人防工程项目，施工单位应当在排除安全隐患后，形成安全隐患整改报告，经建设、施工、监理等有关单位负责人签字并加盖单位公章，提交安全生产监督机构。</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仿宋_GB2312" w:hAnsi="仿宋_GB2312" w:eastAsia="仿宋_GB2312" w:cs="仿宋_GB2312"/>
          <w:snapToGrid w:val="0"/>
          <w:color w:val="000000" w:themeColor="text1"/>
          <w:kern w:val="0"/>
          <w:sz w:val="32"/>
          <w14:textFill>
            <w14:solidFill>
              <w14:schemeClr w14:val="tx1"/>
            </w14:solidFill>
          </w14:textFill>
        </w:rPr>
        <w:t xml:space="preserve">    安全生产监督机构收到施工单位提交的安全隐患整改报告后进行查验，经查验符合要求的，安全生产监督机构向停工整改的工程项目发放《</w:t>
      </w:r>
      <w:bookmarkStart w:id="1" w:name="_Hlk44322622"/>
      <w:r>
        <w:rPr>
          <w:rFonts w:hint="eastAsia" w:ascii="仿宋_GB2312" w:hAnsi="仿宋_GB2312" w:eastAsia="仿宋_GB2312" w:cs="仿宋_GB2312"/>
          <w:snapToGrid w:val="0"/>
          <w:color w:val="000000" w:themeColor="text1"/>
          <w:kern w:val="0"/>
          <w:sz w:val="32"/>
          <w14:textFill>
            <w14:solidFill>
              <w14:schemeClr w14:val="tx1"/>
            </w14:solidFill>
          </w14:textFill>
        </w:rPr>
        <w:t>单建人防工程恢复施工通知书</w:t>
      </w:r>
      <w:bookmarkEnd w:id="1"/>
      <w:r>
        <w:rPr>
          <w:rFonts w:hint="eastAsia" w:ascii="仿宋_GB2312" w:hAnsi="仿宋_GB2312" w:eastAsia="仿宋_GB2312" w:cs="仿宋_GB2312"/>
          <w:snapToGrid w:val="0"/>
          <w:color w:val="000000" w:themeColor="text1"/>
          <w:kern w:val="0"/>
          <w:sz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仿宋" w:hAnsi="仿宋" w:eastAsia="仿宋"/>
          <w:snapToGrid w:val="0"/>
          <w:color w:val="000000" w:themeColor="text1"/>
          <w:kern w:val="0"/>
          <w:sz w:val="32"/>
          <w14:textFill>
            <w14:solidFill>
              <w14:schemeClr w14:val="tx1"/>
            </w14:solidFill>
          </w14:textFill>
        </w:rPr>
        <w:t xml:space="preserve">    </w:t>
      </w:r>
      <w:r>
        <w:rPr>
          <w:rFonts w:hint="eastAsia" w:ascii="黑体" w:hAnsi="黑体" w:eastAsia="黑体"/>
          <w:snapToGrid w:val="0"/>
          <w:color w:val="000000" w:themeColor="text1"/>
          <w:kern w:val="0"/>
          <w:sz w:val="32"/>
          <w14:textFill>
            <w14:solidFill>
              <w14:schemeClr w14:val="tx1"/>
            </w14:solidFill>
          </w14:textFill>
        </w:rPr>
        <w:t>第十八条</w:t>
      </w:r>
      <w:r>
        <w:rPr>
          <w:rFonts w:hint="eastAsia" w:ascii="仿宋" w:hAnsi="仿宋" w:eastAsia="仿宋"/>
          <w:snapToGrid w:val="0"/>
          <w:color w:val="000000" w:themeColor="text1"/>
          <w:kern w:val="0"/>
          <w:sz w:val="32"/>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14:textFill>
            <w14:solidFill>
              <w14:schemeClr w14:val="tx1"/>
            </w14:solidFill>
          </w14:textFill>
        </w:rPr>
        <w:t>单建人防工程在施工过程中发生等级以上安全事故的，人防主管部门和安全生产监督机构,以及各安全主体责任单位应按《生产安全事故报告和调查处理条例》和本级政府安委会有关要求迅速上报。在上报本级政府安委会的同时，上报上级人防主管部门，不得有迟报、瞒报、拒报、漏报现象发生。</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仿宋" w:hAnsi="仿宋" w:eastAsia="仿宋"/>
          <w:snapToGrid w:val="0"/>
          <w:color w:val="000000" w:themeColor="text1"/>
          <w:kern w:val="0"/>
          <w:sz w:val="32"/>
          <w14:textFill>
            <w14:solidFill>
              <w14:schemeClr w14:val="tx1"/>
            </w14:solidFill>
          </w14:textFill>
        </w:rPr>
        <w:t xml:space="preserve">    </w:t>
      </w:r>
      <w:r>
        <w:rPr>
          <w:rFonts w:hint="eastAsia" w:ascii="黑体" w:hAnsi="黑体" w:eastAsia="黑体"/>
          <w:snapToGrid w:val="0"/>
          <w:color w:val="000000" w:themeColor="text1"/>
          <w:kern w:val="0"/>
          <w:sz w:val="32"/>
          <w14:textFill>
            <w14:solidFill>
              <w14:schemeClr w14:val="tx1"/>
            </w14:solidFill>
          </w14:textFill>
        </w:rPr>
        <w:t>第十九条</w:t>
      </w:r>
      <w:r>
        <w:rPr>
          <w:rFonts w:hint="eastAsia" w:ascii="仿宋" w:hAnsi="仿宋" w:eastAsia="仿宋"/>
          <w:snapToGrid w:val="0"/>
          <w:color w:val="000000" w:themeColor="text1"/>
          <w:kern w:val="0"/>
          <w:sz w:val="32"/>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14:textFill>
            <w14:solidFill>
              <w14:schemeClr w14:val="tx1"/>
            </w14:solidFill>
          </w14:textFill>
        </w:rPr>
        <w:t xml:space="preserve">当发生安全事故时，按照属地管理的原则，相关责任人应立即赶到事故现场，配合有关部门做好应急救援工作。同时，采取有效措施控制事故进一步扩大，特别是防止次生灾害的发生。 </w:t>
      </w:r>
    </w:p>
    <w:p>
      <w:pPr>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eastAsia" w:ascii="黑体" w:hAnsi="黑体" w:eastAsia="黑体"/>
          <w:snapToGrid w:val="0"/>
          <w:color w:val="000000" w:themeColor="text1"/>
          <w:kern w:val="0"/>
          <w:sz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eastAsia" w:ascii="黑体" w:hAnsi="黑体" w:eastAsia="黑体"/>
          <w:snapToGrid w:val="0"/>
          <w:color w:val="000000" w:themeColor="text1"/>
          <w:kern w:val="0"/>
          <w:sz w:val="32"/>
          <w14:textFill>
            <w14:solidFill>
              <w14:schemeClr w14:val="tx1"/>
            </w14:solidFill>
          </w14:textFill>
        </w:rPr>
      </w:pPr>
      <w:r>
        <w:rPr>
          <w:rFonts w:hint="eastAsia" w:ascii="黑体" w:hAnsi="黑体" w:eastAsia="黑体"/>
          <w:snapToGrid w:val="0"/>
          <w:color w:val="000000" w:themeColor="text1"/>
          <w:kern w:val="0"/>
          <w:sz w:val="32"/>
          <w14:textFill>
            <w14:solidFill>
              <w14:schemeClr w14:val="tx1"/>
            </w14:solidFill>
          </w14:textFill>
        </w:rPr>
        <w:t xml:space="preserve">第四章 </w:t>
      </w:r>
      <w:r>
        <w:rPr>
          <w:rFonts w:hint="eastAsia" w:ascii="黑体" w:hAnsi="黑体" w:eastAsia="黑体"/>
          <w:snapToGrid w:val="0"/>
          <w:color w:val="000000" w:themeColor="text1"/>
          <w:kern w:val="0"/>
          <w:sz w:val="32"/>
          <w:lang w:val="en-US" w:eastAsia="zh-CN"/>
          <w14:textFill>
            <w14:solidFill>
              <w14:schemeClr w14:val="tx1"/>
            </w14:solidFill>
          </w14:textFill>
        </w:rPr>
        <w:t xml:space="preserve"> </w:t>
      </w:r>
      <w:r>
        <w:rPr>
          <w:rFonts w:hint="eastAsia" w:ascii="黑体" w:hAnsi="黑体" w:eastAsia="黑体"/>
          <w:snapToGrid w:val="0"/>
          <w:color w:val="000000" w:themeColor="text1"/>
          <w:kern w:val="0"/>
          <w:sz w:val="32"/>
          <w14:textFill>
            <w14:solidFill>
              <w14:schemeClr w14:val="tx1"/>
            </w14:solidFill>
          </w14:textFill>
        </w:rPr>
        <w:t>附  则</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 w:hAnsi="仿宋" w:eastAsia="仿宋"/>
          <w:snapToGrid w:val="0"/>
          <w:color w:val="000000" w:themeColor="text1"/>
          <w:kern w:val="0"/>
          <w:sz w:val="32"/>
          <w14:textFill>
            <w14:solidFill>
              <w14:schemeClr w14:val="tx1"/>
            </w14:solidFill>
          </w14:textFill>
        </w:rPr>
      </w:pPr>
      <w:r>
        <w:rPr>
          <w:rFonts w:hint="eastAsia" w:ascii="仿宋" w:hAnsi="仿宋" w:eastAsia="仿宋"/>
          <w:snapToGrid w:val="0"/>
          <w:color w:val="000000" w:themeColor="text1"/>
          <w:kern w:val="0"/>
          <w:sz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黑体" w:hAnsi="黑体" w:eastAsia="黑体"/>
          <w:snapToGrid w:val="0"/>
          <w:color w:val="000000" w:themeColor="text1"/>
          <w:kern w:val="0"/>
          <w:sz w:val="32"/>
          <w14:textFill>
            <w14:solidFill>
              <w14:schemeClr w14:val="tx1"/>
            </w14:solidFill>
          </w14:textFill>
        </w:rPr>
        <w:t>第二十条</w:t>
      </w:r>
      <w:r>
        <w:rPr>
          <w:rFonts w:hint="eastAsia" w:ascii="仿宋" w:hAnsi="仿宋" w:eastAsia="仿宋"/>
          <w:snapToGrid w:val="0"/>
          <w:color w:val="000000" w:themeColor="text1"/>
          <w:kern w:val="0"/>
          <w:sz w:val="32"/>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14:textFill>
            <w14:solidFill>
              <w14:schemeClr w14:val="tx1"/>
            </w14:solidFill>
          </w14:textFill>
        </w:rPr>
        <w:t>对违反安全生产法律、法规及本办法的行为，依照《中华人民共和国安全生产法》</w:t>
      </w:r>
      <w:r>
        <w:rPr>
          <w:rFonts w:hint="eastAsia" w:ascii="仿宋_GB2312" w:hAnsi="仿宋_GB2312" w:cs="仿宋_GB2312"/>
          <w:snapToGrid w:val="0"/>
          <w:color w:val="000000" w:themeColor="text1"/>
          <w:kern w:val="0"/>
          <w:sz w:val="32"/>
          <w:lang w:val="en-US" w:eastAsia="zh-CN"/>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14:textFill>
            <w14:solidFill>
              <w14:schemeClr w14:val="tx1"/>
            </w14:solidFill>
          </w14:textFill>
        </w:rPr>
        <w:t>《中华人民共和国人民防空法》《建设工程安全生产管理条例》等法律、法规有关规定进行处罚。</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仿宋" w:hAnsi="仿宋" w:eastAsia="仿宋"/>
          <w:snapToGrid w:val="0"/>
          <w:color w:val="000000" w:themeColor="text1"/>
          <w:kern w:val="0"/>
          <w:sz w:val="32"/>
          <w14:textFill>
            <w14:solidFill>
              <w14:schemeClr w14:val="tx1"/>
            </w14:solidFill>
          </w14:textFill>
        </w:rPr>
        <w:t xml:space="preserve">    </w:t>
      </w:r>
      <w:r>
        <w:rPr>
          <w:rFonts w:hint="eastAsia" w:ascii="黑体" w:hAnsi="黑体" w:eastAsia="黑体"/>
          <w:snapToGrid w:val="0"/>
          <w:color w:val="000000" w:themeColor="text1"/>
          <w:kern w:val="0"/>
          <w:sz w:val="32"/>
          <w14:textFill>
            <w14:solidFill>
              <w14:schemeClr w14:val="tx1"/>
            </w14:solidFill>
          </w14:textFill>
        </w:rPr>
        <w:t>第二十一条</w:t>
      </w:r>
      <w:r>
        <w:rPr>
          <w:rFonts w:hint="eastAsia" w:ascii="仿宋" w:hAnsi="仿宋" w:eastAsia="仿宋"/>
          <w:snapToGrid w:val="0"/>
          <w:color w:val="000000" w:themeColor="text1"/>
          <w:kern w:val="0"/>
          <w:sz w:val="32"/>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14:textFill>
            <w14:solidFill>
              <w14:schemeClr w14:val="tx1"/>
            </w14:solidFill>
          </w14:textFill>
        </w:rPr>
        <w:t>对发生责任事故的责任企业实行黑名单制度，向社会公示。</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仿宋" w:hAnsi="仿宋" w:eastAsia="仿宋"/>
          <w:snapToGrid w:val="0"/>
          <w:color w:val="000000" w:themeColor="text1"/>
          <w:kern w:val="0"/>
          <w:sz w:val="32"/>
          <w14:textFill>
            <w14:solidFill>
              <w14:schemeClr w14:val="tx1"/>
            </w14:solidFill>
          </w14:textFill>
        </w:rPr>
        <w:t xml:space="preserve">    </w:t>
      </w:r>
      <w:r>
        <w:rPr>
          <w:rFonts w:hint="eastAsia" w:ascii="黑体" w:hAnsi="黑体" w:eastAsia="黑体"/>
          <w:snapToGrid w:val="0"/>
          <w:color w:val="000000" w:themeColor="text1"/>
          <w:kern w:val="0"/>
          <w:sz w:val="32"/>
          <w14:textFill>
            <w14:solidFill>
              <w14:schemeClr w14:val="tx1"/>
            </w14:solidFill>
          </w14:textFill>
        </w:rPr>
        <w:t>第二十二条</w:t>
      </w:r>
      <w:r>
        <w:rPr>
          <w:rFonts w:hint="eastAsia" w:ascii="仿宋" w:hAnsi="仿宋" w:eastAsia="仿宋"/>
          <w:snapToGrid w:val="0"/>
          <w:color w:val="000000" w:themeColor="text1"/>
          <w:kern w:val="0"/>
          <w:sz w:val="32"/>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14:textFill>
            <w14:solidFill>
              <w14:schemeClr w14:val="tx1"/>
            </w14:solidFill>
          </w14:textFill>
        </w:rPr>
        <w:t>本办法由山东省人民防空办公室负责解释。各市人防主管部门可根据本办法的规定制定实施细则。</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r>
        <w:rPr>
          <w:rFonts w:hint="eastAsia" w:ascii="黑体" w:hAnsi="黑体" w:eastAsia="黑体"/>
          <w:snapToGrid w:val="0"/>
          <w:color w:val="000000" w:themeColor="text1"/>
          <w:kern w:val="0"/>
          <w:sz w:val="32"/>
          <w14:textFill>
            <w14:solidFill>
              <w14:schemeClr w14:val="tx1"/>
            </w14:solidFill>
          </w14:textFill>
        </w:rPr>
        <w:t>第二十三条</w:t>
      </w:r>
      <w:r>
        <w:rPr>
          <w:rFonts w:hint="eastAsia" w:ascii="仿宋" w:hAnsi="仿宋" w:eastAsia="仿宋"/>
          <w:snapToGrid w:val="0"/>
          <w:color w:val="000000" w:themeColor="text1"/>
          <w:kern w:val="0"/>
          <w:sz w:val="32"/>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14:textFill>
            <w14:solidFill>
              <w14:schemeClr w14:val="tx1"/>
            </w14:solidFill>
          </w14:textFill>
        </w:rPr>
        <w:t>本办法自2020年</w:t>
      </w:r>
      <w:r>
        <w:rPr>
          <w:rFonts w:hint="eastAsia" w:ascii="仿宋_GB2312" w:hAnsi="仿宋_GB2312" w:cs="仿宋_GB2312"/>
          <w:snapToGrid w:val="0"/>
          <w:color w:val="000000" w:themeColor="text1"/>
          <w:kern w:val="0"/>
          <w:sz w:val="32"/>
          <w:lang w:val="en-US" w:eastAsia="zh-CN"/>
          <w14:textFill>
            <w14:solidFill>
              <w14:schemeClr w14:val="tx1"/>
            </w14:solidFill>
          </w14:textFill>
        </w:rPr>
        <w:t>11</w:t>
      </w:r>
      <w:r>
        <w:rPr>
          <w:rFonts w:hint="eastAsia" w:ascii="仿宋_GB2312" w:hAnsi="仿宋_GB2312" w:eastAsia="仿宋_GB2312" w:cs="仿宋_GB2312"/>
          <w:snapToGrid w:val="0"/>
          <w:color w:val="000000" w:themeColor="text1"/>
          <w:kern w:val="0"/>
          <w:sz w:val="32"/>
          <w14:textFill>
            <w14:solidFill>
              <w14:schemeClr w14:val="tx1"/>
            </w14:solidFill>
          </w14:textFill>
        </w:rPr>
        <w:t>月</w:t>
      </w:r>
      <w:r>
        <w:rPr>
          <w:rFonts w:hint="eastAsia" w:ascii="仿宋_GB2312" w:hAnsi="仿宋_GB2312" w:cs="仿宋_GB2312"/>
          <w:snapToGrid w:val="0"/>
          <w:color w:val="000000" w:themeColor="text1"/>
          <w:kern w:val="0"/>
          <w:sz w:val="32"/>
          <w:lang w:val="en-US" w:eastAsia="zh-CN"/>
          <w14:textFill>
            <w14:solidFill>
              <w14:schemeClr w14:val="tx1"/>
            </w14:solidFill>
          </w14:textFill>
        </w:rPr>
        <w:t>15</w:t>
      </w:r>
      <w:r>
        <w:rPr>
          <w:rFonts w:hint="eastAsia" w:ascii="仿宋_GB2312" w:hAnsi="仿宋_GB2312" w:eastAsia="仿宋_GB2312" w:cs="仿宋_GB2312"/>
          <w:snapToGrid w:val="0"/>
          <w:color w:val="000000" w:themeColor="text1"/>
          <w:kern w:val="0"/>
          <w:sz w:val="32"/>
          <w14:textFill>
            <w14:solidFill>
              <w14:schemeClr w14:val="tx1"/>
            </w14:solidFill>
          </w14:textFill>
        </w:rPr>
        <w:t>日起施行，有效期至2025年</w:t>
      </w:r>
      <w:r>
        <w:rPr>
          <w:rFonts w:hint="eastAsia" w:ascii="仿宋_GB2312" w:hAnsi="仿宋_GB2312" w:cs="仿宋_GB2312"/>
          <w:snapToGrid w:val="0"/>
          <w:color w:val="000000" w:themeColor="text1"/>
          <w:kern w:val="0"/>
          <w:sz w:val="32"/>
          <w:lang w:val="en-US" w:eastAsia="zh-CN"/>
          <w14:textFill>
            <w14:solidFill>
              <w14:schemeClr w14:val="tx1"/>
            </w14:solidFill>
          </w14:textFill>
        </w:rPr>
        <w:t>11</w:t>
      </w:r>
      <w:r>
        <w:rPr>
          <w:rFonts w:hint="eastAsia" w:ascii="仿宋_GB2312" w:hAnsi="仿宋_GB2312" w:eastAsia="仿宋_GB2312" w:cs="仿宋_GB2312"/>
          <w:snapToGrid w:val="0"/>
          <w:color w:val="000000" w:themeColor="text1"/>
          <w:kern w:val="0"/>
          <w:sz w:val="32"/>
          <w14:textFill>
            <w14:solidFill>
              <w14:schemeClr w14:val="tx1"/>
            </w14:solidFill>
          </w14:textFill>
        </w:rPr>
        <w:t>月</w:t>
      </w:r>
      <w:r>
        <w:rPr>
          <w:rFonts w:hint="eastAsia" w:ascii="仿宋_GB2312" w:hAnsi="仿宋_GB2312" w:cs="仿宋_GB2312"/>
          <w:snapToGrid w:val="0"/>
          <w:color w:val="000000" w:themeColor="text1"/>
          <w:kern w:val="0"/>
          <w:sz w:val="32"/>
          <w:lang w:val="en-US" w:eastAsia="zh-CN"/>
          <w14:textFill>
            <w14:solidFill>
              <w14:schemeClr w14:val="tx1"/>
            </w14:solidFill>
          </w14:textFill>
        </w:rPr>
        <w:t>14</w:t>
      </w:r>
      <w:r>
        <w:rPr>
          <w:rFonts w:hint="eastAsia" w:ascii="仿宋_GB2312" w:hAnsi="仿宋_GB2312" w:eastAsia="仿宋_GB2312" w:cs="仿宋_GB2312"/>
          <w:snapToGrid w:val="0"/>
          <w:color w:val="000000" w:themeColor="text1"/>
          <w:kern w:val="0"/>
          <w:sz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napToGrid w:val="0"/>
          <w:color w:val="000000" w:themeColor="text1"/>
          <w:kern w:val="0"/>
          <w:sz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28" w:lineRule="auto"/>
        <w:jc w:val="center"/>
        <w:textAlignment w:val="auto"/>
        <w:rPr>
          <w:rFonts w:hint="eastAsia" w:ascii="方正小标宋简体" w:hAnsi="宋体" w:eastAsia="方正小标宋简体" w:cs="仿宋_GB2312"/>
          <w:snapToGrid w:val="0"/>
          <w:color w:val="000000" w:themeColor="text1"/>
          <w:w w:val="100"/>
          <w:kern w:val="0"/>
          <w:sz w:val="44"/>
          <w:szCs w:val="44"/>
          <w14:textFill>
            <w14:solidFill>
              <w14:schemeClr w14:val="tx1"/>
            </w14:solidFill>
          </w14:textFill>
        </w:rPr>
      </w:pPr>
      <w:r>
        <w:rPr>
          <w:rFonts w:hint="eastAsia" w:ascii="方正小标宋简体" w:hAnsi="宋体" w:eastAsia="方正小标宋简体" w:cs="仿宋_GB2312"/>
          <w:snapToGrid w:val="0"/>
          <w:color w:val="000000" w:themeColor="text1"/>
          <w:w w:val="100"/>
          <w:kern w:val="0"/>
          <w:sz w:val="44"/>
          <w:szCs w:val="44"/>
          <w14:textFill>
            <w14:solidFill>
              <w14:schemeClr w14:val="tx1"/>
            </w14:solidFill>
          </w14:textFill>
        </w:rPr>
        <w:t>关于《山东省单建人防工程</w:t>
      </w:r>
    </w:p>
    <w:p>
      <w:pPr>
        <w:keepNext w:val="0"/>
        <w:keepLines w:val="0"/>
        <w:pageBreakBefore w:val="0"/>
        <w:widowControl w:val="0"/>
        <w:kinsoku/>
        <w:wordWrap/>
        <w:overflowPunct/>
        <w:topLinePunct w:val="0"/>
        <w:autoSpaceDE/>
        <w:autoSpaceDN/>
        <w:bidi w:val="0"/>
        <w:adjustRightInd w:val="0"/>
        <w:snapToGrid w:val="0"/>
        <w:spacing w:line="228" w:lineRule="auto"/>
        <w:jc w:val="center"/>
        <w:textAlignment w:val="auto"/>
        <w:rPr>
          <w:rFonts w:ascii="方正小标宋简体" w:hAnsi="宋体" w:eastAsia="方正小标宋简体" w:cs="仿宋_GB2312"/>
          <w:color w:val="000000" w:themeColor="text1"/>
          <w:spacing w:val="0"/>
          <w:w w:val="100"/>
          <w:kern w:val="0"/>
          <w:sz w:val="44"/>
          <w:szCs w:val="44"/>
          <w14:textFill>
            <w14:solidFill>
              <w14:schemeClr w14:val="tx1"/>
            </w14:solidFill>
          </w14:textFill>
        </w:rPr>
      </w:pPr>
      <w:r>
        <w:rPr>
          <w:rFonts w:hint="eastAsia" w:ascii="方正小标宋简体" w:hAnsi="宋体" w:eastAsia="方正小标宋简体" w:cs="仿宋_GB2312"/>
          <w:snapToGrid w:val="0"/>
          <w:color w:val="000000" w:themeColor="text1"/>
          <w:w w:val="100"/>
          <w:kern w:val="0"/>
          <w:sz w:val="44"/>
          <w:szCs w:val="44"/>
          <w14:textFill>
            <w14:solidFill>
              <w14:schemeClr w14:val="tx1"/>
            </w14:solidFill>
          </w14:textFill>
        </w:rPr>
        <w:t>施工安全监督管理办法》的合法性审核意见</w:t>
      </w:r>
    </w:p>
    <w:p>
      <w:pPr>
        <w:keepNext w:val="0"/>
        <w:keepLines w:val="0"/>
        <w:pageBreakBefore w:val="0"/>
        <w:kinsoku/>
        <w:wordWrap/>
        <w:overflowPunct/>
        <w:topLinePunct w:val="0"/>
        <w:autoSpaceDE/>
        <w:autoSpaceDN w:val="0"/>
        <w:bidi w:val="0"/>
        <w:adjustRightInd w:val="0"/>
        <w:snapToGrid w:val="0"/>
        <w:spacing w:line="336" w:lineRule="auto"/>
        <w:jc w:val="left"/>
        <w:textAlignment w:val="auto"/>
        <w:rPr>
          <w:rFonts w:hint="eastAsia" w:ascii="仿宋_GB2312" w:hAnsi="仿宋" w:eastAsia="仿宋_GB2312" w:cs="宋体"/>
          <w:color w:val="000000" w:themeColor="text1"/>
          <w:spacing w:val="0"/>
          <w:w w:val="100"/>
          <w:kern w:val="0"/>
          <w:sz w:val="32"/>
          <w:szCs w:val="32"/>
          <w14:textFill>
            <w14:solidFill>
              <w14:schemeClr w14:val="tx1"/>
            </w14:solidFill>
          </w14:textFill>
        </w:rPr>
      </w:pPr>
    </w:p>
    <w:p>
      <w:pPr>
        <w:keepNext w:val="0"/>
        <w:keepLines w:val="0"/>
        <w:pageBreakBefore w:val="0"/>
        <w:kinsoku/>
        <w:wordWrap/>
        <w:overflowPunct/>
        <w:topLinePunct w:val="0"/>
        <w:autoSpaceDE/>
        <w:autoSpaceDN w:val="0"/>
        <w:bidi w:val="0"/>
        <w:adjustRightInd w:val="0"/>
        <w:snapToGrid w:val="0"/>
        <w:spacing w:line="336" w:lineRule="auto"/>
        <w:jc w:val="left"/>
        <w:textAlignment w:val="auto"/>
        <w:rPr>
          <w:rFonts w:ascii="仿宋_GB2312" w:hAnsi="仿宋" w:eastAsia="仿宋_GB2312" w:cs="宋体"/>
          <w:color w:val="000000" w:themeColor="text1"/>
          <w:spacing w:val="0"/>
          <w:w w:val="100"/>
          <w:kern w:val="0"/>
          <w:sz w:val="32"/>
          <w:szCs w:val="32"/>
          <w14:textFill>
            <w14:solidFill>
              <w14:schemeClr w14:val="tx1"/>
            </w14:solidFill>
          </w14:textFill>
        </w:rPr>
      </w:pPr>
      <w:r>
        <w:rPr>
          <w:rFonts w:hint="eastAsia" w:ascii="仿宋_GB2312" w:hAnsi="仿宋" w:eastAsia="仿宋_GB2312" w:cs="宋体"/>
          <w:color w:val="000000" w:themeColor="text1"/>
          <w:spacing w:val="0"/>
          <w:w w:val="100"/>
          <w:kern w:val="0"/>
          <w:sz w:val="32"/>
          <w:szCs w:val="32"/>
          <w14:textFill>
            <w14:solidFill>
              <w14:schemeClr w14:val="tx1"/>
            </w14:solidFill>
          </w14:textFill>
        </w:rPr>
        <w:t>山东省人民防空办公室安全监管与科技处：</w:t>
      </w:r>
    </w:p>
    <w:p>
      <w:pPr>
        <w:keepNext w:val="0"/>
        <w:keepLines w:val="0"/>
        <w:pageBreakBefore w:val="0"/>
        <w:kinsoku/>
        <w:wordWrap/>
        <w:overflowPunct/>
        <w:topLinePunct w:val="0"/>
        <w:autoSpaceDE/>
        <w:autoSpaceDN w:val="0"/>
        <w:bidi w:val="0"/>
        <w:adjustRightInd w:val="0"/>
        <w:snapToGrid w:val="0"/>
        <w:spacing w:line="336" w:lineRule="auto"/>
        <w:ind w:firstLine="636" w:firstLineChars="199"/>
        <w:jc w:val="left"/>
        <w:textAlignment w:val="auto"/>
        <w:rPr>
          <w:rFonts w:ascii="仿宋_GB2312" w:hAnsi="仿宋" w:eastAsia="仿宋_GB2312" w:cs="宋体"/>
          <w:color w:val="000000" w:themeColor="text1"/>
          <w:spacing w:val="0"/>
          <w:w w:val="100"/>
          <w:kern w:val="0"/>
          <w:sz w:val="32"/>
          <w:szCs w:val="32"/>
          <w14:textFill>
            <w14:solidFill>
              <w14:schemeClr w14:val="tx1"/>
            </w14:solidFill>
          </w14:textFill>
        </w:rPr>
      </w:pPr>
      <w:r>
        <w:rPr>
          <w:rFonts w:hint="eastAsia" w:ascii="仿宋_GB2312" w:hAnsi="仿宋" w:eastAsia="仿宋_GB2312" w:cs="宋体"/>
          <w:color w:val="000000" w:themeColor="text1"/>
          <w:spacing w:val="0"/>
          <w:w w:val="100"/>
          <w:kern w:val="0"/>
          <w:sz w:val="32"/>
          <w:szCs w:val="32"/>
          <w14:textFill>
            <w14:solidFill>
              <w14:schemeClr w14:val="tx1"/>
            </w14:solidFill>
          </w14:textFill>
        </w:rPr>
        <w:t>你单位起草的《山东省单建人防工程施工安全监督管理办法》，已经我单位合法性审核，现提出如下审核意见。</w:t>
      </w:r>
    </w:p>
    <w:p>
      <w:pPr>
        <w:keepNext w:val="0"/>
        <w:keepLines w:val="0"/>
        <w:pageBreakBefore w:val="0"/>
        <w:widowControl/>
        <w:shd w:val="clear" w:color="auto" w:fill="FFFFFF"/>
        <w:kinsoku/>
        <w:wordWrap/>
        <w:overflowPunct/>
        <w:topLinePunct w:val="0"/>
        <w:autoSpaceDE/>
        <w:bidi w:val="0"/>
        <w:adjustRightInd w:val="0"/>
        <w:snapToGrid w:val="0"/>
        <w:spacing w:line="336" w:lineRule="auto"/>
        <w:ind w:firstLine="640" w:firstLineChars="200"/>
        <w:contextualSpacing/>
        <w:jc w:val="left"/>
        <w:textAlignment w:val="auto"/>
        <w:rPr>
          <w:rFonts w:ascii="黑体" w:hAnsi="黑体" w:eastAsia="黑体" w:cs="宋体"/>
          <w:color w:val="000000" w:themeColor="text1"/>
          <w:spacing w:val="0"/>
          <w:w w:val="100"/>
          <w:kern w:val="0"/>
          <w:sz w:val="32"/>
          <w:szCs w:val="32"/>
          <w14:textFill>
            <w14:solidFill>
              <w14:schemeClr w14:val="tx1"/>
            </w14:solidFill>
          </w14:textFill>
        </w:rPr>
      </w:pPr>
      <w:r>
        <w:rPr>
          <w:rFonts w:hint="eastAsia" w:ascii="黑体" w:hAnsi="黑体" w:eastAsia="黑体" w:cs="宋体"/>
          <w:color w:val="000000" w:themeColor="text1"/>
          <w:spacing w:val="0"/>
          <w:w w:val="100"/>
          <w:kern w:val="0"/>
          <w:sz w:val="32"/>
          <w:szCs w:val="32"/>
          <w14:textFill>
            <w14:solidFill>
              <w14:schemeClr w14:val="tx1"/>
            </w14:solidFill>
          </w14:textFill>
        </w:rPr>
        <w:t>一</w:t>
      </w:r>
      <w:r>
        <w:rPr>
          <w:rFonts w:ascii="黑体" w:hAnsi="黑体" w:eastAsia="黑体" w:cs="宋体"/>
          <w:color w:val="000000" w:themeColor="text1"/>
          <w:spacing w:val="0"/>
          <w:w w:val="100"/>
          <w:kern w:val="0"/>
          <w:sz w:val="32"/>
          <w:szCs w:val="32"/>
          <w14:textFill>
            <w14:solidFill>
              <w14:schemeClr w14:val="tx1"/>
            </w14:solidFill>
          </w14:textFill>
        </w:rPr>
        <w:t>、审</w:t>
      </w:r>
      <w:r>
        <w:rPr>
          <w:rFonts w:hint="eastAsia" w:ascii="黑体" w:hAnsi="黑体" w:eastAsia="黑体" w:cs="宋体"/>
          <w:color w:val="000000" w:themeColor="text1"/>
          <w:spacing w:val="0"/>
          <w:w w:val="100"/>
          <w:kern w:val="0"/>
          <w:sz w:val="32"/>
          <w:szCs w:val="32"/>
          <w14:textFill>
            <w14:solidFill>
              <w14:schemeClr w14:val="tx1"/>
            </w14:solidFill>
          </w14:textFill>
        </w:rPr>
        <w:t>核</w:t>
      </w:r>
      <w:r>
        <w:rPr>
          <w:rFonts w:ascii="黑体" w:hAnsi="黑体" w:eastAsia="黑体" w:cs="宋体"/>
          <w:color w:val="000000" w:themeColor="text1"/>
          <w:spacing w:val="0"/>
          <w:w w:val="100"/>
          <w:kern w:val="0"/>
          <w:sz w:val="32"/>
          <w:szCs w:val="32"/>
          <w14:textFill>
            <w14:solidFill>
              <w14:schemeClr w14:val="tx1"/>
            </w14:solidFill>
          </w14:textFill>
        </w:rPr>
        <w:t>过程</w:t>
      </w:r>
    </w:p>
    <w:p>
      <w:pPr>
        <w:keepNext w:val="0"/>
        <w:keepLines w:val="0"/>
        <w:pageBreakBefore w:val="0"/>
        <w:kinsoku/>
        <w:wordWrap/>
        <w:overflowPunct/>
        <w:topLinePunct w:val="0"/>
        <w:autoSpaceDE/>
        <w:autoSpaceDN w:val="0"/>
        <w:bidi w:val="0"/>
        <w:adjustRightInd w:val="0"/>
        <w:snapToGrid w:val="0"/>
        <w:spacing w:line="336" w:lineRule="auto"/>
        <w:ind w:firstLine="636" w:firstLineChars="199"/>
        <w:jc w:val="left"/>
        <w:textAlignment w:val="auto"/>
        <w:rPr>
          <w:rFonts w:ascii="仿宋_GB2312" w:eastAsia="仿宋_GB2312" w:cs="仿宋_GB2312"/>
          <w:color w:val="000000" w:themeColor="text1"/>
          <w:spacing w:val="0"/>
          <w:w w:val="100"/>
          <w:kern w:val="0"/>
          <w:sz w:val="32"/>
          <w:szCs w:val="32"/>
          <w14:textFill>
            <w14:solidFill>
              <w14:schemeClr w14:val="tx1"/>
            </w14:solidFill>
          </w14:textFill>
        </w:rPr>
      </w:pPr>
      <w:r>
        <w:rPr>
          <w:rFonts w:hint="eastAsia" w:ascii="仿宋_GB2312" w:hAnsi="仿宋" w:eastAsia="仿宋_GB2312" w:cs="宋体"/>
          <w:color w:val="000000" w:themeColor="text1"/>
          <w:spacing w:val="0"/>
          <w:w w:val="100"/>
          <w:kern w:val="0"/>
          <w:sz w:val="32"/>
          <w:szCs w:val="32"/>
          <w14:textFill>
            <w14:solidFill>
              <w14:schemeClr w14:val="tx1"/>
            </w14:solidFill>
          </w14:textFill>
        </w:rPr>
        <w:t>20</w:t>
      </w:r>
      <w:r>
        <w:rPr>
          <w:rFonts w:ascii="仿宋_GB2312" w:hAnsi="仿宋" w:eastAsia="仿宋_GB2312" w:cs="宋体"/>
          <w:color w:val="000000" w:themeColor="text1"/>
          <w:spacing w:val="0"/>
          <w:w w:val="100"/>
          <w:kern w:val="0"/>
          <w:sz w:val="32"/>
          <w:szCs w:val="32"/>
          <w14:textFill>
            <w14:solidFill>
              <w14:schemeClr w14:val="tx1"/>
            </w14:solidFill>
          </w14:textFill>
        </w:rPr>
        <w:t>20</w:t>
      </w:r>
      <w:r>
        <w:rPr>
          <w:rFonts w:hint="eastAsia" w:ascii="仿宋_GB2312" w:hAnsi="仿宋" w:eastAsia="仿宋_GB2312" w:cs="宋体"/>
          <w:color w:val="000000" w:themeColor="text1"/>
          <w:spacing w:val="0"/>
          <w:w w:val="100"/>
          <w:kern w:val="0"/>
          <w:sz w:val="32"/>
          <w:szCs w:val="32"/>
          <w14:textFill>
            <w14:solidFill>
              <w14:schemeClr w14:val="tx1"/>
            </w14:solidFill>
          </w14:textFill>
        </w:rPr>
        <w:t>年10月</w:t>
      </w:r>
      <w:r>
        <w:rPr>
          <w:rFonts w:ascii="仿宋_GB2312" w:hAnsi="仿宋" w:eastAsia="仿宋_GB2312" w:cs="宋体"/>
          <w:color w:val="000000" w:themeColor="text1"/>
          <w:spacing w:val="0"/>
          <w:w w:val="100"/>
          <w:kern w:val="0"/>
          <w:sz w:val="32"/>
          <w:szCs w:val="32"/>
          <w14:textFill>
            <w14:solidFill>
              <w14:schemeClr w14:val="tx1"/>
            </w14:solidFill>
          </w14:textFill>
        </w:rPr>
        <w:t>9</w:t>
      </w:r>
      <w:r>
        <w:rPr>
          <w:rFonts w:hint="eastAsia" w:ascii="仿宋_GB2312" w:hAnsi="仿宋" w:eastAsia="仿宋_GB2312" w:cs="宋体"/>
          <w:color w:val="000000" w:themeColor="text1"/>
          <w:spacing w:val="0"/>
          <w:w w:val="100"/>
          <w:kern w:val="0"/>
          <w:sz w:val="32"/>
          <w:szCs w:val="32"/>
          <w14:textFill>
            <w14:solidFill>
              <w14:schemeClr w14:val="tx1"/>
            </w14:solidFill>
          </w14:textFill>
        </w:rPr>
        <w:t>日，法制与宣传处与法律顾问按照《山东省行政程序规定》的有关规定，对文件</w:t>
      </w:r>
      <w:r>
        <w:rPr>
          <w:rFonts w:hint="eastAsia" w:ascii="仿宋_GB2312" w:hAnsi="Arial" w:eastAsia="仿宋_GB2312" w:cs="Arial"/>
          <w:color w:val="000000" w:themeColor="text1"/>
          <w:spacing w:val="0"/>
          <w:w w:val="100"/>
          <w:kern w:val="0"/>
          <w:sz w:val="32"/>
          <w:szCs w:val="32"/>
          <w14:textFill>
            <w14:solidFill>
              <w14:schemeClr w14:val="tx1"/>
            </w14:solidFill>
          </w14:textFill>
        </w:rPr>
        <w:t>的制定主体、权限、程序、内容、形式等方面的合法性情况进行了审核。</w:t>
      </w:r>
    </w:p>
    <w:p>
      <w:pPr>
        <w:keepNext w:val="0"/>
        <w:keepLines w:val="0"/>
        <w:pageBreakBefore w:val="0"/>
        <w:widowControl/>
        <w:shd w:val="clear" w:color="auto" w:fill="FFFFFF"/>
        <w:kinsoku/>
        <w:wordWrap/>
        <w:overflowPunct/>
        <w:topLinePunct w:val="0"/>
        <w:autoSpaceDE/>
        <w:bidi w:val="0"/>
        <w:adjustRightInd w:val="0"/>
        <w:snapToGrid w:val="0"/>
        <w:spacing w:line="336" w:lineRule="auto"/>
        <w:ind w:firstLine="640" w:firstLineChars="200"/>
        <w:contextualSpacing/>
        <w:jc w:val="left"/>
        <w:textAlignment w:val="auto"/>
        <w:rPr>
          <w:rFonts w:ascii="黑体" w:hAnsi="黑体" w:eastAsia="黑体" w:cs="宋体"/>
          <w:color w:val="000000" w:themeColor="text1"/>
          <w:spacing w:val="0"/>
          <w:w w:val="100"/>
          <w:kern w:val="0"/>
          <w:sz w:val="32"/>
          <w:szCs w:val="32"/>
          <w14:textFill>
            <w14:solidFill>
              <w14:schemeClr w14:val="tx1"/>
            </w14:solidFill>
          </w14:textFill>
        </w:rPr>
      </w:pPr>
      <w:r>
        <w:rPr>
          <w:rFonts w:hint="eastAsia" w:ascii="黑体" w:hAnsi="黑体" w:eastAsia="黑体" w:cs="宋体"/>
          <w:color w:val="000000" w:themeColor="text1"/>
          <w:spacing w:val="0"/>
          <w:w w:val="100"/>
          <w:kern w:val="0"/>
          <w:sz w:val="32"/>
          <w:szCs w:val="32"/>
          <w14:textFill>
            <w14:solidFill>
              <w14:schemeClr w14:val="tx1"/>
            </w14:solidFill>
          </w14:textFill>
        </w:rPr>
        <w:t>二</w:t>
      </w:r>
      <w:r>
        <w:rPr>
          <w:rFonts w:ascii="黑体" w:hAnsi="黑体" w:eastAsia="黑体" w:cs="宋体"/>
          <w:color w:val="000000" w:themeColor="text1"/>
          <w:spacing w:val="0"/>
          <w:w w:val="100"/>
          <w:kern w:val="0"/>
          <w:sz w:val="32"/>
          <w:szCs w:val="32"/>
          <w14:textFill>
            <w14:solidFill>
              <w14:schemeClr w14:val="tx1"/>
            </w14:solidFill>
          </w14:textFill>
        </w:rPr>
        <w:t>、合法性审</w:t>
      </w:r>
      <w:r>
        <w:rPr>
          <w:rFonts w:hint="eastAsia" w:ascii="黑体" w:hAnsi="黑体" w:eastAsia="黑体" w:cs="宋体"/>
          <w:color w:val="000000" w:themeColor="text1"/>
          <w:spacing w:val="0"/>
          <w:w w:val="100"/>
          <w:kern w:val="0"/>
          <w:sz w:val="32"/>
          <w:szCs w:val="32"/>
          <w14:textFill>
            <w14:solidFill>
              <w14:schemeClr w14:val="tx1"/>
            </w14:solidFill>
          </w14:textFill>
        </w:rPr>
        <w:t>核</w:t>
      </w:r>
      <w:r>
        <w:rPr>
          <w:rFonts w:ascii="黑体" w:hAnsi="黑体" w:eastAsia="黑体" w:cs="宋体"/>
          <w:color w:val="000000" w:themeColor="text1"/>
          <w:spacing w:val="0"/>
          <w:w w:val="100"/>
          <w:kern w:val="0"/>
          <w:sz w:val="32"/>
          <w:szCs w:val="32"/>
          <w14:textFill>
            <w14:solidFill>
              <w14:schemeClr w14:val="tx1"/>
            </w14:solidFill>
          </w14:textFill>
        </w:rPr>
        <w:t>情况</w:t>
      </w:r>
    </w:p>
    <w:p>
      <w:pPr>
        <w:keepNext w:val="0"/>
        <w:keepLines w:val="0"/>
        <w:pageBreakBefore w:val="0"/>
        <w:kinsoku/>
        <w:wordWrap/>
        <w:overflowPunct/>
        <w:topLinePunct w:val="0"/>
        <w:autoSpaceDE/>
        <w:bidi w:val="0"/>
        <w:adjustRightInd w:val="0"/>
        <w:snapToGrid w:val="0"/>
        <w:spacing w:line="336" w:lineRule="auto"/>
        <w:ind w:firstLine="640" w:firstLineChars="200"/>
        <w:textAlignment w:val="auto"/>
        <w:rPr>
          <w:rFonts w:ascii="黑体" w:hAnsi="黑体" w:eastAsia="黑体"/>
          <w:color w:val="000000" w:themeColor="text1"/>
          <w:spacing w:val="0"/>
          <w:w w:val="100"/>
          <w:kern w:val="0"/>
          <w:sz w:val="32"/>
          <w:szCs w:val="32"/>
          <w14:textFill>
            <w14:solidFill>
              <w14:schemeClr w14:val="tx1"/>
            </w14:solidFill>
          </w14:textFill>
        </w:rPr>
      </w:pPr>
      <w:r>
        <w:rPr>
          <w:rFonts w:hint="eastAsia" w:ascii="楷体_GB2312" w:hAnsi="楷体" w:eastAsia="楷体_GB2312"/>
          <w:color w:val="000000" w:themeColor="text1"/>
          <w:spacing w:val="0"/>
          <w:w w:val="100"/>
          <w:kern w:val="0"/>
          <w:sz w:val="32"/>
          <w:szCs w:val="32"/>
          <w14:textFill>
            <w14:solidFill>
              <w14:schemeClr w14:val="tx1"/>
            </w14:solidFill>
          </w14:textFill>
        </w:rPr>
        <w:t>（一）制定主体</w:t>
      </w:r>
      <w:r>
        <w:rPr>
          <w:rFonts w:hint="eastAsia" w:ascii="楷体_GB2312" w:hAnsi="黑体" w:eastAsia="楷体_GB2312"/>
          <w:color w:val="000000" w:themeColor="text1"/>
          <w:spacing w:val="0"/>
          <w:w w:val="100"/>
          <w:kern w:val="0"/>
          <w:sz w:val="32"/>
          <w:szCs w:val="32"/>
          <w14:textFill>
            <w14:solidFill>
              <w14:schemeClr w14:val="tx1"/>
            </w14:solidFill>
          </w14:textFill>
        </w:rPr>
        <w:t>。</w:t>
      </w:r>
      <w:r>
        <w:rPr>
          <w:rFonts w:hint="eastAsia" w:ascii="仿宋_GB2312" w:hAnsi="Arial" w:eastAsia="仿宋_GB2312" w:cs="Arial"/>
          <w:color w:val="000000" w:themeColor="text1"/>
          <w:spacing w:val="0"/>
          <w:w w:val="100"/>
          <w:kern w:val="0"/>
          <w:sz w:val="32"/>
          <w:szCs w:val="32"/>
          <w14:textFill>
            <w14:solidFill>
              <w14:schemeClr w14:val="tx1"/>
            </w14:solidFill>
          </w14:textFill>
        </w:rPr>
        <w:t>文件的发文主体为省人防办，制定主体适格，符合《山东省行政程序规定》第四十三条规定。</w:t>
      </w:r>
    </w:p>
    <w:p>
      <w:pPr>
        <w:keepNext w:val="0"/>
        <w:keepLines w:val="0"/>
        <w:pageBreakBefore w:val="0"/>
        <w:kinsoku/>
        <w:wordWrap/>
        <w:overflowPunct/>
        <w:topLinePunct w:val="0"/>
        <w:autoSpaceDE/>
        <w:bidi w:val="0"/>
        <w:adjustRightInd w:val="0"/>
        <w:snapToGrid w:val="0"/>
        <w:spacing w:line="336" w:lineRule="auto"/>
        <w:ind w:firstLine="640" w:firstLineChars="200"/>
        <w:textAlignment w:val="auto"/>
        <w:rPr>
          <w:rFonts w:ascii="仿宋_GB2312" w:hAnsi="Arial" w:eastAsia="仿宋_GB2312" w:cs="Arial"/>
          <w:color w:val="000000" w:themeColor="text1"/>
          <w:spacing w:val="0"/>
          <w:w w:val="100"/>
          <w:kern w:val="0"/>
          <w:sz w:val="32"/>
          <w:szCs w:val="32"/>
          <w14:textFill>
            <w14:solidFill>
              <w14:schemeClr w14:val="tx1"/>
            </w14:solidFill>
          </w14:textFill>
        </w:rPr>
      </w:pPr>
      <w:r>
        <w:rPr>
          <w:rFonts w:hint="eastAsia" w:ascii="楷体_GB2312" w:hAnsi="楷体" w:eastAsia="楷体_GB2312"/>
          <w:color w:val="000000" w:themeColor="text1"/>
          <w:spacing w:val="0"/>
          <w:w w:val="100"/>
          <w:kern w:val="0"/>
          <w:sz w:val="32"/>
          <w:szCs w:val="32"/>
          <w14:textFill>
            <w14:solidFill>
              <w14:schemeClr w14:val="tx1"/>
            </w14:solidFill>
          </w14:textFill>
        </w:rPr>
        <w:t>（二）制定权限。</w:t>
      </w:r>
      <w:r>
        <w:rPr>
          <w:rFonts w:hint="eastAsia" w:ascii="仿宋_GB2312" w:hAnsi="Arial" w:eastAsia="仿宋_GB2312" w:cs="Arial"/>
          <w:color w:val="000000" w:themeColor="text1"/>
          <w:spacing w:val="0"/>
          <w:w w:val="100"/>
          <w:kern w:val="0"/>
          <w:sz w:val="32"/>
          <w:szCs w:val="32"/>
          <w14:textFill>
            <w14:solidFill>
              <w14:schemeClr w14:val="tx1"/>
            </w14:solidFill>
          </w14:textFill>
        </w:rPr>
        <w:t>文件未设定行政许可、行政处罚、行政强制等事项，符合《山东省行政程序规定》第四十四条规定。</w:t>
      </w:r>
    </w:p>
    <w:p>
      <w:pPr>
        <w:keepNext w:val="0"/>
        <w:keepLines w:val="0"/>
        <w:pageBreakBefore w:val="0"/>
        <w:kinsoku/>
        <w:wordWrap/>
        <w:overflowPunct/>
        <w:topLinePunct w:val="0"/>
        <w:autoSpaceDE/>
        <w:bidi w:val="0"/>
        <w:adjustRightInd w:val="0"/>
        <w:snapToGrid w:val="0"/>
        <w:spacing w:line="336" w:lineRule="auto"/>
        <w:ind w:firstLine="640" w:firstLineChars="200"/>
        <w:textAlignment w:val="auto"/>
        <w:rPr>
          <w:rFonts w:ascii="仿宋_GB2312" w:hAnsi="Arial" w:eastAsia="仿宋_GB2312" w:cs="Arial"/>
          <w:color w:val="000000" w:themeColor="text1"/>
          <w:spacing w:val="0"/>
          <w:w w:val="100"/>
          <w:kern w:val="0"/>
          <w:sz w:val="32"/>
          <w:szCs w:val="32"/>
          <w14:textFill>
            <w14:solidFill>
              <w14:schemeClr w14:val="tx1"/>
            </w14:solidFill>
          </w14:textFill>
        </w:rPr>
      </w:pPr>
      <w:r>
        <w:rPr>
          <w:rFonts w:hint="eastAsia" w:ascii="楷体_GB2312" w:hAnsi="楷体" w:eastAsia="楷体_GB2312"/>
          <w:color w:val="000000" w:themeColor="text1"/>
          <w:spacing w:val="0"/>
          <w:w w:val="100"/>
          <w:kern w:val="0"/>
          <w:sz w:val="32"/>
          <w:szCs w:val="32"/>
          <w14:textFill>
            <w14:solidFill>
              <w14:schemeClr w14:val="tx1"/>
            </w14:solidFill>
          </w14:textFill>
        </w:rPr>
        <w:t>（三）制定程序。</w:t>
      </w:r>
      <w:r>
        <w:rPr>
          <w:rFonts w:hint="eastAsia" w:ascii="仿宋_GB2312" w:hAnsi="Arial" w:eastAsia="仿宋_GB2312" w:cs="Arial"/>
          <w:color w:val="000000" w:themeColor="text1"/>
          <w:spacing w:val="0"/>
          <w:w w:val="100"/>
          <w:kern w:val="0"/>
          <w:sz w:val="32"/>
          <w:szCs w:val="32"/>
          <w14:textFill>
            <w14:solidFill>
              <w14:schemeClr w14:val="tx1"/>
            </w14:solidFill>
          </w14:textFill>
        </w:rPr>
        <w:t>文稿在提交审核前，已充分征求了服务</w:t>
      </w:r>
      <w:r>
        <w:rPr>
          <w:rFonts w:ascii="仿宋_GB2312" w:hAnsi="Arial" w:eastAsia="仿宋_GB2312" w:cs="Arial"/>
          <w:color w:val="000000" w:themeColor="text1"/>
          <w:spacing w:val="0"/>
          <w:w w:val="100"/>
          <w:kern w:val="0"/>
          <w:sz w:val="32"/>
          <w:szCs w:val="32"/>
          <w14:textFill>
            <w14:solidFill>
              <w14:schemeClr w14:val="tx1"/>
            </w14:solidFill>
          </w14:textFill>
        </w:rPr>
        <w:t>管理对象、</w:t>
      </w:r>
      <w:r>
        <w:rPr>
          <w:rFonts w:hint="eastAsia" w:ascii="仿宋_GB2312" w:hAnsi="Arial" w:eastAsia="仿宋_GB2312" w:cs="Arial"/>
          <w:color w:val="000000" w:themeColor="text1"/>
          <w:spacing w:val="0"/>
          <w:w w:val="100"/>
          <w:kern w:val="0"/>
          <w:sz w:val="32"/>
          <w:szCs w:val="32"/>
          <w14:textFill>
            <w14:solidFill>
              <w14:schemeClr w14:val="tx1"/>
            </w14:solidFill>
          </w14:textFill>
        </w:rPr>
        <w:t>社会公众、各市人防办、相关处及办领导的意见。</w:t>
      </w:r>
    </w:p>
    <w:p>
      <w:pPr>
        <w:keepNext w:val="0"/>
        <w:keepLines w:val="0"/>
        <w:pageBreakBefore w:val="0"/>
        <w:kinsoku/>
        <w:wordWrap/>
        <w:overflowPunct/>
        <w:topLinePunct w:val="0"/>
        <w:autoSpaceDE/>
        <w:bidi w:val="0"/>
        <w:adjustRightInd w:val="0"/>
        <w:snapToGrid w:val="0"/>
        <w:spacing w:line="336" w:lineRule="auto"/>
        <w:ind w:firstLine="640" w:firstLineChars="200"/>
        <w:textAlignment w:val="auto"/>
        <w:rPr>
          <w:rFonts w:ascii="仿宋_GB2312" w:hAnsi="Arial" w:eastAsia="仿宋_GB2312" w:cs="Arial"/>
          <w:color w:val="000000" w:themeColor="text1"/>
          <w:spacing w:val="0"/>
          <w:w w:val="100"/>
          <w:kern w:val="0"/>
          <w:sz w:val="32"/>
          <w:szCs w:val="32"/>
          <w14:textFill>
            <w14:solidFill>
              <w14:schemeClr w14:val="tx1"/>
            </w14:solidFill>
          </w14:textFill>
        </w:rPr>
      </w:pPr>
      <w:r>
        <w:rPr>
          <w:rFonts w:hint="eastAsia" w:ascii="楷体_GB2312" w:hAnsi="楷体" w:eastAsia="楷体_GB2312"/>
          <w:color w:val="000000" w:themeColor="text1"/>
          <w:spacing w:val="0"/>
          <w:w w:val="100"/>
          <w:kern w:val="0"/>
          <w:sz w:val="32"/>
          <w:szCs w:val="32"/>
          <w14:textFill>
            <w14:solidFill>
              <w14:schemeClr w14:val="tx1"/>
            </w14:solidFill>
          </w14:textFill>
        </w:rPr>
        <w:t>（四）文件内容。</w:t>
      </w:r>
      <w:r>
        <w:rPr>
          <w:rFonts w:hint="eastAsia" w:ascii="仿宋_GB2312" w:hAnsi="Arial" w:eastAsia="仿宋_GB2312" w:cs="Arial"/>
          <w:color w:val="000000" w:themeColor="text1"/>
          <w:spacing w:val="0"/>
          <w:w w:val="100"/>
          <w:kern w:val="0"/>
          <w:sz w:val="32"/>
          <w:szCs w:val="32"/>
          <w14:textFill>
            <w14:solidFill>
              <w14:schemeClr w14:val="tx1"/>
            </w14:solidFill>
          </w14:textFill>
        </w:rPr>
        <w:t>经审核，文件依据《中华人民共和国安全生产法》《中华人民共和国人民防空法》《建设工程安全生产管理条例》《山东省安全生产条例》《山东省人民防空工程管理办法》及有关法律、法规进行修订，文件内容符合上级文件规定</w:t>
      </w:r>
      <w:r>
        <w:rPr>
          <w:rFonts w:ascii="仿宋_GB2312" w:hAnsi="Arial" w:eastAsia="仿宋_GB2312" w:cs="Arial"/>
          <w:color w:val="000000" w:themeColor="text1"/>
          <w:spacing w:val="0"/>
          <w:w w:val="100"/>
          <w:kern w:val="0"/>
          <w:sz w:val="32"/>
          <w:szCs w:val="32"/>
          <w14:textFill>
            <w14:solidFill>
              <w14:schemeClr w14:val="tx1"/>
            </w14:solidFill>
          </w14:textFill>
        </w:rPr>
        <w:t>精神</w:t>
      </w:r>
      <w:r>
        <w:rPr>
          <w:rFonts w:hint="eastAsia" w:ascii="仿宋_GB2312" w:hAnsi="Arial" w:eastAsia="仿宋_GB2312" w:cs="Arial"/>
          <w:color w:val="000000" w:themeColor="text1"/>
          <w:spacing w:val="0"/>
          <w:w w:val="100"/>
          <w:kern w:val="0"/>
          <w:sz w:val="32"/>
          <w:szCs w:val="32"/>
          <w14:textFill>
            <w14:solidFill>
              <w14:schemeClr w14:val="tx1"/>
            </w14:solidFill>
          </w14:textFill>
        </w:rPr>
        <w:t>。</w:t>
      </w:r>
    </w:p>
    <w:p>
      <w:pPr>
        <w:keepNext w:val="0"/>
        <w:keepLines w:val="0"/>
        <w:pageBreakBefore w:val="0"/>
        <w:kinsoku/>
        <w:wordWrap/>
        <w:overflowPunct/>
        <w:topLinePunct w:val="0"/>
        <w:autoSpaceDE/>
        <w:bidi w:val="0"/>
        <w:adjustRightInd w:val="0"/>
        <w:snapToGrid w:val="0"/>
        <w:spacing w:line="336" w:lineRule="auto"/>
        <w:ind w:firstLine="640" w:firstLineChars="200"/>
        <w:textAlignment w:val="auto"/>
        <w:rPr>
          <w:rFonts w:ascii="仿宋" w:hAnsi="仿宋"/>
          <w:color w:val="000000" w:themeColor="text1"/>
          <w:spacing w:val="0"/>
          <w:w w:val="100"/>
          <w:kern w:val="0"/>
          <w:sz w:val="32"/>
          <w:szCs w:val="32"/>
          <w14:textFill>
            <w14:solidFill>
              <w14:schemeClr w14:val="tx1"/>
            </w14:solidFill>
          </w14:textFill>
        </w:rPr>
      </w:pPr>
      <w:r>
        <w:rPr>
          <w:rFonts w:hint="eastAsia" w:ascii="楷体_GB2312" w:hAnsi="楷体" w:eastAsia="楷体_GB2312"/>
          <w:color w:val="000000" w:themeColor="text1"/>
          <w:spacing w:val="0"/>
          <w:w w:val="100"/>
          <w:kern w:val="0"/>
          <w:sz w:val="32"/>
          <w:szCs w:val="32"/>
          <w14:textFill>
            <w14:solidFill>
              <w14:schemeClr w14:val="tx1"/>
            </w14:solidFill>
          </w14:textFill>
        </w:rPr>
        <w:t>（五）文件形式。</w:t>
      </w:r>
      <w:r>
        <w:rPr>
          <w:rFonts w:hint="eastAsia" w:ascii="仿宋_GB2312" w:hAnsi="Arial" w:eastAsia="仿宋_GB2312" w:cs="Arial"/>
          <w:color w:val="000000" w:themeColor="text1"/>
          <w:spacing w:val="0"/>
          <w:w w:val="100"/>
          <w:kern w:val="0"/>
          <w:sz w:val="32"/>
          <w:szCs w:val="32"/>
          <w14:textFill>
            <w14:solidFill>
              <w14:schemeClr w14:val="tx1"/>
            </w14:solidFill>
          </w14:textFill>
        </w:rPr>
        <w:t>文件对部分文字和法律技术要求进行了调整、规范，形式符合相关法律法规规定。</w:t>
      </w:r>
    </w:p>
    <w:p>
      <w:pPr>
        <w:pStyle w:val="21"/>
        <w:keepNext w:val="0"/>
        <w:keepLines w:val="0"/>
        <w:pageBreakBefore w:val="0"/>
        <w:kinsoku/>
        <w:wordWrap/>
        <w:overflowPunct/>
        <w:topLinePunct w:val="0"/>
        <w:autoSpaceDE/>
        <w:bidi w:val="0"/>
        <w:adjustRightInd w:val="0"/>
        <w:snapToGrid w:val="0"/>
        <w:spacing w:line="336" w:lineRule="auto"/>
        <w:ind w:firstLine="640" w:firstLineChars="200"/>
        <w:textAlignment w:val="auto"/>
        <w:rPr>
          <w:rFonts w:ascii="仿宋_GB2312" w:hAnsi="仿宋" w:eastAsia="仿宋_GB2312"/>
          <w:color w:val="000000" w:themeColor="text1"/>
          <w:spacing w:val="0"/>
          <w:w w:val="100"/>
          <w:kern w:val="0"/>
          <w:sz w:val="32"/>
          <w:szCs w:val="32"/>
          <w14:textFill>
            <w14:solidFill>
              <w14:schemeClr w14:val="tx1"/>
            </w14:solidFill>
          </w14:textFill>
        </w:rPr>
      </w:pPr>
      <w:r>
        <w:rPr>
          <w:rFonts w:hint="eastAsia" w:ascii="楷体_GB2312" w:hAnsi="楷体" w:eastAsia="楷体_GB2312"/>
          <w:color w:val="000000" w:themeColor="text1"/>
          <w:spacing w:val="0"/>
          <w:w w:val="100"/>
          <w:kern w:val="0"/>
          <w:sz w:val="32"/>
          <w:szCs w:val="32"/>
          <w14:textFill>
            <w14:solidFill>
              <w14:schemeClr w14:val="tx1"/>
            </w14:solidFill>
          </w14:textFill>
        </w:rPr>
        <w:t>（六）公平竞争审查。</w:t>
      </w:r>
      <w:r>
        <w:rPr>
          <w:rFonts w:hint="eastAsia" w:ascii="仿宋_GB2312" w:hAnsi="仿宋" w:eastAsia="仿宋_GB2312"/>
          <w:color w:val="000000" w:themeColor="text1"/>
          <w:spacing w:val="0"/>
          <w:w w:val="100"/>
          <w:kern w:val="0"/>
          <w:sz w:val="32"/>
          <w:szCs w:val="32"/>
          <w14:textFill>
            <w14:solidFill>
              <w14:schemeClr w14:val="tx1"/>
            </w14:solidFill>
          </w14:textFill>
        </w:rPr>
        <w:t>文件没有</w:t>
      </w:r>
      <w:r>
        <w:rPr>
          <w:rFonts w:hint="eastAsia" w:ascii="仿宋_GB2312" w:hAnsi="Arial" w:eastAsia="仿宋_GB2312" w:cs="Arial"/>
          <w:color w:val="000000" w:themeColor="text1"/>
          <w:spacing w:val="0"/>
          <w:w w:val="100"/>
          <w:kern w:val="0"/>
          <w:sz w:val="32"/>
          <w:szCs w:val="32"/>
          <w14:textFill>
            <w14:solidFill>
              <w14:schemeClr w14:val="tx1"/>
            </w14:solidFill>
          </w14:textFill>
        </w:rPr>
        <w:t>违反国家公平竞争的相关规定。</w:t>
      </w:r>
    </w:p>
    <w:p>
      <w:pPr>
        <w:keepNext w:val="0"/>
        <w:keepLines w:val="0"/>
        <w:pageBreakBefore w:val="0"/>
        <w:widowControl/>
        <w:shd w:val="clear" w:color="auto" w:fill="FFFFFF"/>
        <w:kinsoku/>
        <w:wordWrap/>
        <w:overflowPunct/>
        <w:topLinePunct w:val="0"/>
        <w:autoSpaceDE/>
        <w:bidi w:val="0"/>
        <w:adjustRightInd w:val="0"/>
        <w:snapToGrid w:val="0"/>
        <w:spacing w:line="336" w:lineRule="auto"/>
        <w:ind w:firstLine="480"/>
        <w:contextualSpacing/>
        <w:jc w:val="left"/>
        <w:textAlignment w:val="auto"/>
        <w:rPr>
          <w:rFonts w:ascii="仿宋" w:hAnsi="仿宋" w:eastAsia="仿宋" w:cs="宋体"/>
          <w:color w:val="000000" w:themeColor="text1"/>
          <w:spacing w:val="0"/>
          <w:w w:val="100"/>
          <w:kern w:val="0"/>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bidi w:val="0"/>
        <w:adjustRightInd w:val="0"/>
        <w:snapToGrid w:val="0"/>
        <w:spacing w:line="336" w:lineRule="auto"/>
        <w:ind w:firstLine="2400" w:firstLineChars="750"/>
        <w:contextualSpacing/>
        <w:jc w:val="left"/>
        <w:textAlignment w:val="auto"/>
        <w:rPr>
          <w:rFonts w:ascii="仿宋" w:hAnsi="仿宋" w:eastAsia="仿宋" w:cs="宋体"/>
          <w:color w:val="000000" w:themeColor="text1"/>
          <w:spacing w:val="0"/>
          <w:w w:val="100"/>
          <w:kern w:val="0"/>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bidi w:val="0"/>
        <w:adjustRightInd w:val="0"/>
        <w:snapToGrid w:val="0"/>
        <w:spacing w:line="336" w:lineRule="auto"/>
        <w:ind w:firstLine="2400" w:firstLineChars="750"/>
        <w:contextualSpacing/>
        <w:jc w:val="right"/>
        <w:textAlignment w:val="auto"/>
        <w:rPr>
          <w:rFonts w:ascii="仿宋_GB2312" w:hAnsi="Arial" w:eastAsia="仿宋_GB2312" w:cs="Arial"/>
          <w:color w:val="000000" w:themeColor="text1"/>
          <w:spacing w:val="0"/>
          <w:w w:val="100"/>
          <w:kern w:val="0"/>
          <w:sz w:val="32"/>
          <w:szCs w:val="32"/>
          <w14:textFill>
            <w14:solidFill>
              <w14:schemeClr w14:val="tx1"/>
            </w14:solidFill>
          </w14:textFill>
        </w:rPr>
      </w:pPr>
      <w:r>
        <w:rPr>
          <w:rFonts w:hint="eastAsia" w:ascii="仿宋_GB2312" w:hAnsi="Arial" w:eastAsia="仿宋_GB2312" w:cs="Arial"/>
          <w:color w:val="000000" w:themeColor="text1"/>
          <w:spacing w:val="0"/>
          <w:w w:val="100"/>
          <w:kern w:val="0"/>
          <w:sz w:val="32"/>
          <w:szCs w:val="32"/>
          <w14:textFill>
            <w14:solidFill>
              <w14:schemeClr w14:val="tx1"/>
            </w14:solidFill>
          </w14:textFill>
        </w:rPr>
        <w:t>山东省人民防空办公室法制与宣传处</w:t>
      </w:r>
    </w:p>
    <w:p>
      <w:pPr>
        <w:keepNext w:val="0"/>
        <w:keepLines w:val="0"/>
        <w:pageBreakBefore w:val="0"/>
        <w:widowControl/>
        <w:kinsoku/>
        <w:wordWrap/>
        <w:overflowPunct/>
        <w:topLinePunct w:val="0"/>
        <w:autoSpaceDE/>
        <w:bidi w:val="0"/>
        <w:adjustRightInd w:val="0"/>
        <w:snapToGrid w:val="0"/>
        <w:spacing w:line="336" w:lineRule="auto"/>
        <w:ind w:firstLine="5120" w:firstLineChars="1600"/>
        <w:jc w:val="left"/>
        <w:textAlignment w:val="auto"/>
        <w:rPr>
          <w:color w:val="000000" w:themeColor="text1"/>
          <w:spacing w:val="0"/>
          <w:w w:val="100"/>
          <w:kern w:val="0"/>
          <w14:textFill>
            <w14:solidFill>
              <w14:schemeClr w14:val="tx1"/>
            </w14:solidFill>
          </w14:textFill>
        </w:rPr>
      </w:pPr>
      <w:r>
        <w:rPr>
          <w:rFonts w:hint="eastAsia" w:ascii="仿宋_GB2312" w:hAnsi="Arial" w:eastAsia="仿宋_GB2312" w:cs="Arial"/>
          <w:color w:val="000000" w:themeColor="text1"/>
          <w:spacing w:val="0"/>
          <w:w w:val="100"/>
          <w:kern w:val="0"/>
          <w:sz w:val="32"/>
          <w:szCs w:val="32"/>
          <w14:textFill>
            <w14:solidFill>
              <w14:schemeClr w14:val="tx1"/>
            </w14:solidFill>
          </w14:textFill>
        </w:rPr>
        <w:t>20</w:t>
      </w:r>
      <w:r>
        <w:rPr>
          <w:rFonts w:ascii="仿宋_GB2312" w:hAnsi="Arial" w:eastAsia="仿宋_GB2312" w:cs="Arial"/>
          <w:color w:val="000000" w:themeColor="text1"/>
          <w:spacing w:val="0"/>
          <w:w w:val="100"/>
          <w:kern w:val="0"/>
          <w:sz w:val="32"/>
          <w:szCs w:val="32"/>
          <w14:textFill>
            <w14:solidFill>
              <w14:schemeClr w14:val="tx1"/>
            </w14:solidFill>
          </w14:textFill>
        </w:rPr>
        <w:t>20</w:t>
      </w:r>
      <w:r>
        <w:rPr>
          <w:rFonts w:hint="eastAsia" w:ascii="仿宋_GB2312" w:hAnsi="Arial" w:eastAsia="仿宋_GB2312" w:cs="Arial"/>
          <w:color w:val="000000" w:themeColor="text1"/>
          <w:spacing w:val="0"/>
          <w:w w:val="100"/>
          <w:kern w:val="0"/>
          <w:sz w:val="32"/>
          <w:szCs w:val="32"/>
          <w14:textFill>
            <w14:solidFill>
              <w14:schemeClr w14:val="tx1"/>
            </w14:solidFill>
          </w14:textFill>
        </w:rPr>
        <w:t>年1</w:t>
      </w:r>
      <w:r>
        <w:rPr>
          <w:rFonts w:ascii="仿宋_GB2312" w:hAnsi="Arial" w:eastAsia="仿宋_GB2312" w:cs="Arial"/>
          <w:color w:val="000000" w:themeColor="text1"/>
          <w:spacing w:val="0"/>
          <w:w w:val="100"/>
          <w:kern w:val="0"/>
          <w:sz w:val="32"/>
          <w:szCs w:val="32"/>
          <w14:textFill>
            <w14:solidFill>
              <w14:schemeClr w14:val="tx1"/>
            </w14:solidFill>
          </w14:textFill>
        </w:rPr>
        <w:t>0</w:t>
      </w:r>
      <w:r>
        <w:rPr>
          <w:rFonts w:hint="eastAsia" w:ascii="仿宋_GB2312" w:hAnsi="Arial" w:eastAsia="仿宋_GB2312" w:cs="Arial"/>
          <w:color w:val="000000" w:themeColor="text1"/>
          <w:spacing w:val="0"/>
          <w:w w:val="100"/>
          <w:kern w:val="0"/>
          <w:sz w:val="32"/>
          <w:szCs w:val="32"/>
          <w14:textFill>
            <w14:solidFill>
              <w14:schemeClr w14:val="tx1"/>
            </w14:solidFill>
          </w14:textFill>
        </w:rPr>
        <w:t>月</w:t>
      </w:r>
      <w:r>
        <w:rPr>
          <w:rFonts w:ascii="仿宋_GB2312" w:hAnsi="Arial" w:eastAsia="仿宋_GB2312" w:cs="Arial"/>
          <w:color w:val="000000" w:themeColor="text1"/>
          <w:spacing w:val="0"/>
          <w:w w:val="100"/>
          <w:kern w:val="0"/>
          <w:sz w:val="32"/>
          <w:szCs w:val="32"/>
          <w14:textFill>
            <w14:solidFill>
              <w14:schemeClr w14:val="tx1"/>
            </w14:solidFill>
          </w14:textFill>
        </w:rPr>
        <w:t>9</w:t>
      </w:r>
      <w:r>
        <w:rPr>
          <w:rFonts w:hint="eastAsia" w:ascii="仿宋_GB2312" w:hAnsi="Arial" w:eastAsia="仿宋_GB2312" w:cs="Arial"/>
          <w:color w:val="000000" w:themeColor="text1"/>
          <w:spacing w:val="0"/>
          <w:w w:val="100"/>
          <w:kern w:val="0"/>
          <w:sz w:val="32"/>
          <w:szCs w:val="32"/>
          <w14:textFill>
            <w14:solidFill>
              <w14:schemeClr w14:val="tx1"/>
            </w14:solidFill>
          </w14:textFill>
        </w:rPr>
        <w:t>日</w:t>
      </w:r>
    </w:p>
    <w:p>
      <w:pPr>
        <w:keepNext w:val="0"/>
        <w:keepLines w:val="0"/>
        <w:pageBreakBefore w:val="0"/>
        <w:widowControl w:val="0"/>
        <w:tabs>
          <w:tab w:val="left" w:pos="7680"/>
        </w:tabs>
        <w:kinsoku/>
        <w:wordWrap/>
        <w:overflowPunct/>
        <w:topLinePunct w:val="0"/>
        <w:autoSpaceDE/>
        <w:autoSpaceDN/>
        <w:bidi w:val="0"/>
        <w:adjustRightInd w:val="0"/>
        <w:snapToGrid w:val="0"/>
        <w:spacing w:line="336" w:lineRule="auto"/>
        <w:jc w:val="both"/>
        <w:textAlignment w:val="auto"/>
        <w:rPr>
          <w:rFonts w:hint="eastAsia" w:ascii="仿宋_GB2312" w:hAnsi="仿宋_GB2312" w:eastAsia="仿宋_GB2312" w:cs="仿宋_GB2312"/>
          <w:snapToGrid w:val="0"/>
          <w:color w:val="000000" w:themeColor="text1"/>
          <w:spacing w:val="0"/>
          <w:w w:val="100"/>
          <w:kern w:val="0"/>
          <w14:textFill>
            <w14:solidFill>
              <w14:schemeClr w14:val="tx1"/>
            </w14:solidFill>
          </w14:textFill>
        </w:rPr>
      </w:pPr>
    </w:p>
    <w:sectPr>
      <w:footerReference r:id="rId5" w:type="first"/>
      <w:footerReference r:id="rId3" w:type="default"/>
      <w:footerReference r:id="rId4" w:type="even"/>
      <w:pgSz w:w="11906" w:h="16838"/>
      <w:pgMar w:top="1797" w:right="1474" w:bottom="1797" w:left="1474" w:header="1701" w:footer="1814" w:gutter="0"/>
      <w:cols w:space="720"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文星简仿宋">
    <w:altName w:val="Arial Unicode MS"/>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85680"/>
      <w:docPartObj>
        <w:docPartGallery w:val="autotext"/>
      </w:docPartObj>
    </w:sdtPr>
    <w:sdtEndPr>
      <w:rPr>
        <w:rFonts w:hint="eastAsia" w:ascii="仿宋_GB2312" w:eastAsia="仿宋_GB2312"/>
        <w:sz w:val="28"/>
        <w:szCs w:val="28"/>
      </w:rPr>
    </w:sdtEndPr>
    <w:sdtContent>
      <w:p>
        <w:pPr>
          <w:pStyle w:val="7"/>
          <w:numPr>
            <w:ilvl w:val="0"/>
            <w:numId w:val="1"/>
          </w:numPr>
          <w:adjustRightInd w:val="0"/>
          <w:ind w:left="677" w:leftChars="100" w:right="320" w:rightChars="100" w:hanging="357"/>
          <w:jc w:val="right"/>
          <w:rPr>
            <w:rFonts w:ascii="仿宋_GB2312" w:hAnsi="Times New Roman" w:eastAsia="仿宋_GB2312" w:cs="Times New Roman"/>
            <w:sz w:val="28"/>
            <w:szCs w:val="28"/>
          </w:rPr>
        </w:pPr>
        <w:r>
          <w:rPr>
            <w:rFonts w:hint="eastAsia"/>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3</w:t>
        </w:r>
        <w:r>
          <w:rPr>
            <w:rFonts w:hint="eastAsia" w:ascii="仿宋_GB2312" w:eastAsia="仿宋_GB2312"/>
            <w:sz w:val="28"/>
            <w:szCs w:val="28"/>
          </w:rPr>
          <w:fldChar w:fldCharType="end"/>
        </w:r>
        <w:r>
          <w:rPr>
            <w:rFonts w:hint="eastAsia" w:ascii="仿宋_GB2312" w:eastAsia="仿宋_GB2312"/>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85677"/>
      <w:docPartObj>
        <w:docPartGallery w:val="autotext"/>
      </w:docPartObj>
    </w:sdtPr>
    <w:sdtEndPr>
      <w:rPr>
        <w:rFonts w:hint="eastAsia" w:ascii="仿宋_GB2312" w:eastAsia="仿宋_GB2312"/>
        <w:sz w:val="28"/>
        <w:szCs w:val="28"/>
      </w:rPr>
    </w:sdtEndPr>
    <w:sdtContent>
      <w:p>
        <w:pPr>
          <w:pStyle w:val="7"/>
          <w:numPr>
            <w:ilvl w:val="0"/>
            <w:numId w:val="1"/>
          </w:numPr>
          <w:adjustRightInd w:val="0"/>
          <w:ind w:left="677" w:leftChars="100" w:right="320" w:rightChars="100" w:hanging="357"/>
          <w:rPr>
            <w:rFonts w:ascii="仿宋_GB2312" w:hAnsi="Times New Roman" w:eastAsia="仿宋_GB2312" w:cs="Times New Roman"/>
            <w:sz w:val="28"/>
            <w:szCs w:val="28"/>
          </w:rPr>
        </w:pPr>
        <w:r>
          <w:rPr>
            <w:rFonts w:hint="eastAsia"/>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2</w:t>
        </w:r>
        <w:r>
          <w:rPr>
            <w:rFonts w:hint="eastAsia" w:ascii="仿宋_GB2312" w:eastAsia="仿宋_GB2312"/>
            <w:sz w:val="28"/>
            <w:szCs w:val="28"/>
          </w:rPr>
          <w:fldChar w:fldCharType="end"/>
        </w:r>
        <w:r>
          <w:rPr>
            <w:rFonts w:hint="eastAsia" w:ascii="仿宋_GB2312" w:eastAsia="仿宋_GB2312"/>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adjustRightInd w:val="0"/>
      <w:ind w:left="677" w:right="320" w:rightChars="100"/>
      <w:jc w:val="right"/>
      <w:rPr>
        <w:rFonts w:ascii="仿宋_GB2312" w:hAnsi="Times New Roman" w:eastAsia="仿宋_GB2312" w:cs="Times New Roman"/>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D389F8"/>
    <w:multiLevelType w:val="singleLevel"/>
    <w:tmpl w:val="DBD389F8"/>
    <w:lvl w:ilvl="0" w:tentative="0">
      <w:start w:val="1"/>
      <w:numFmt w:val="chineseCounting"/>
      <w:suff w:val="nothing"/>
      <w:lvlText w:val="（%1）"/>
      <w:lvlJc w:val="left"/>
      <w:rPr>
        <w:rFonts w:hint="eastAsia"/>
      </w:rPr>
    </w:lvl>
  </w:abstractNum>
  <w:abstractNum w:abstractNumId="1">
    <w:nsid w:val="19A0ED54"/>
    <w:multiLevelType w:val="singleLevel"/>
    <w:tmpl w:val="19A0ED54"/>
    <w:lvl w:ilvl="0" w:tentative="0">
      <w:start w:val="1"/>
      <w:numFmt w:val="chineseCounting"/>
      <w:suff w:val="space"/>
      <w:lvlText w:val="第%1章"/>
      <w:lvlJc w:val="left"/>
      <w:rPr>
        <w:rFonts w:hint="eastAsia"/>
      </w:rPr>
    </w:lvl>
  </w:abstractNum>
  <w:abstractNum w:abstractNumId="2">
    <w:nsid w:val="23C03A85"/>
    <w:multiLevelType w:val="multilevel"/>
    <w:tmpl w:val="23C03A85"/>
    <w:lvl w:ilvl="0" w:tentative="0">
      <w:start w:val="1"/>
      <w:numFmt w:val="bullet"/>
      <w:lvlText w:val="—"/>
      <w:lvlJc w:val="left"/>
      <w:pPr>
        <w:ind w:left="786" w:hanging="360"/>
      </w:pPr>
      <w:rPr>
        <w:rFonts w:hint="eastAsia" w:ascii="仿宋_GB2312" w:eastAsia="仿宋_GB2312" w:hAnsiTheme="minorHAnsi" w:cstheme="minorBidi"/>
        <w:sz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mirrorMargins w:val="1"/>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059"/>
    <w:rsid w:val="00000016"/>
    <w:rsid w:val="00000454"/>
    <w:rsid w:val="000014A4"/>
    <w:rsid w:val="00001A3E"/>
    <w:rsid w:val="00001DBD"/>
    <w:rsid w:val="000021E4"/>
    <w:rsid w:val="000024F1"/>
    <w:rsid w:val="0000319C"/>
    <w:rsid w:val="00003D09"/>
    <w:rsid w:val="00003DE9"/>
    <w:rsid w:val="0000407D"/>
    <w:rsid w:val="000040E6"/>
    <w:rsid w:val="00004360"/>
    <w:rsid w:val="0000462A"/>
    <w:rsid w:val="00004798"/>
    <w:rsid w:val="000052FE"/>
    <w:rsid w:val="000054E7"/>
    <w:rsid w:val="000057A2"/>
    <w:rsid w:val="00006093"/>
    <w:rsid w:val="0001271D"/>
    <w:rsid w:val="000127EF"/>
    <w:rsid w:val="00012ACC"/>
    <w:rsid w:val="00012D3D"/>
    <w:rsid w:val="00012E50"/>
    <w:rsid w:val="000131AD"/>
    <w:rsid w:val="00013592"/>
    <w:rsid w:val="00015AEF"/>
    <w:rsid w:val="00015E09"/>
    <w:rsid w:val="00016C33"/>
    <w:rsid w:val="00017BD7"/>
    <w:rsid w:val="00017DC3"/>
    <w:rsid w:val="00017E1C"/>
    <w:rsid w:val="0002149B"/>
    <w:rsid w:val="00022002"/>
    <w:rsid w:val="00022D96"/>
    <w:rsid w:val="00023441"/>
    <w:rsid w:val="0002359E"/>
    <w:rsid w:val="00023CE7"/>
    <w:rsid w:val="00023DB7"/>
    <w:rsid w:val="00025420"/>
    <w:rsid w:val="0002569C"/>
    <w:rsid w:val="0002673D"/>
    <w:rsid w:val="00026E9B"/>
    <w:rsid w:val="00027048"/>
    <w:rsid w:val="00027A5D"/>
    <w:rsid w:val="00027D59"/>
    <w:rsid w:val="00030C30"/>
    <w:rsid w:val="00030FF4"/>
    <w:rsid w:val="000310CF"/>
    <w:rsid w:val="0003165B"/>
    <w:rsid w:val="000329F0"/>
    <w:rsid w:val="00032DD5"/>
    <w:rsid w:val="0003306F"/>
    <w:rsid w:val="000330F0"/>
    <w:rsid w:val="000331F5"/>
    <w:rsid w:val="00033F51"/>
    <w:rsid w:val="00033FD2"/>
    <w:rsid w:val="00033FD5"/>
    <w:rsid w:val="000347B5"/>
    <w:rsid w:val="00034C9F"/>
    <w:rsid w:val="00035B69"/>
    <w:rsid w:val="000361B2"/>
    <w:rsid w:val="000364E3"/>
    <w:rsid w:val="00036B0A"/>
    <w:rsid w:val="000372D4"/>
    <w:rsid w:val="00037CF5"/>
    <w:rsid w:val="00037EBB"/>
    <w:rsid w:val="00037F21"/>
    <w:rsid w:val="000402D4"/>
    <w:rsid w:val="00040549"/>
    <w:rsid w:val="000405BB"/>
    <w:rsid w:val="00040739"/>
    <w:rsid w:val="000421F8"/>
    <w:rsid w:val="00043396"/>
    <w:rsid w:val="00043448"/>
    <w:rsid w:val="00043A81"/>
    <w:rsid w:val="00044616"/>
    <w:rsid w:val="00045709"/>
    <w:rsid w:val="0004591E"/>
    <w:rsid w:val="0004690D"/>
    <w:rsid w:val="00047397"/>
    <w:rsid w:val="000508C4"/>
    <w:rsid w:val="0005094B"/>
    <w:rsid w:val="00050A41"/>
    <w:rsid w:val="00050ED0"/>
    <w:rsid w:val="000524E1"/>
    <w:rsid w:val="00053366"/>
    <w:rsid w:val="00054D77"/>
    <w:rsid w:val="00055175"/>
    <w:rsid w:val="000551B0"/>
    <w:rsid w:val="0005529D"/>
    <w:rsid w:val="00055875"/>
    <w:rsid w:val="00055E26"/>
    <w:rsid w:val="00056B84"/>
    <w:rsid w:val="00057A69"/>
    <w:rsid w:val="00060BFC"/>
    <w:rsid w:val="000628AF"/>
    <w:rsid w:val="00063FF9"/>
    <w:rsid w:val="000643C0"/>
    <w:rsid w:val="00064846"/>
    <w:rsid w:val="00065D84"/>
    <w:rsid w:val="00066016"/>
    <w:rsid w:val="000669EF"/>
    <w:rsid w:val="00066F4C"/>
    <w:rsid w:val="0006734F"/>
    <w:rsid w:val="000676BB"/>
    <w:rsid w:val="00070275"/>
    <w:rsid w:val="00070761"/>
    <w:rsid w:val="00070CCB"/>
    <w:rsid w:val="00070FC9"/>
    <w:rsid w:val="00071141"/>
    <w:rsid w:val="00071B64"/>
    <w:rsid w:val="00071E3F"/>
    <w:rsid w:val="00072144"/>
    <w:rsid w:val="00072428"/>
    <w:rsid w:val="00072852"/>
    <w:rsid w:val="00072994"/>
    <w:rsid w:val="00072C5C"/>
    <w:rsid w:val="000737C8"/>
    <w:rsid w:val="00073BBD"/>
    <w:rsid w:val="00074299"/>
    <w:rsid w:val="000745CC"/>
    <w:rsid w:val="000765E6"/>
    <w:rsid w:val="00076A33"/>
    <w:rsid w:val="00077549"/>
    <w:rsid w:val="00080728"/>
    <w:rsid w:val="00081143"/>
    <w:rsid w:val="0008125B"/>
    <w:rsid w:val="00081479"/>
    <w:rsid w:val="0008166F"/>
    <w:rsid w:val="000831F6"/>
    <w:rsid w:val="000838C9"/>
    <w:rsid w:val="00084416"/>
    <w:rsid w:val="00084FDF"/>
    <w:rsid w:val="00086DB2"/>
    <w:rsid w:val="00086EDB"/>
    <w:rsid w:val="00087236"/>
    <w:rsid w:val="000878D3"/>
    <w:rsid w:val="00090A1B"/>
    <w:rsid w:val="000911A6"/>
    <w:rsid w:val="00094444"/>
    <w:rsid w:val="00094AAB"/>
    <w:rsid w:val="00094BB8"/>
    <w:rsid w:val="0009613B"/>
    <w:rsid w:val="000965DF"/>
    <w:rsid w:val="000968E3"/>
    <w:rsid w:val="00097350"/>
    <w:rsid w:val="000A06DB"/>
    <w:rsid w:val="000A070B"/>
    <w:rsid w:val="000A099F"/>
    <w:rsid w:val="000A1CD3"/>
    <w:rsid w:val="000A2259"/>
    <w:rsid w:val="000A2897"/>
    <w:rsid w:val="000A3EE0"/>
    <w:rsid w:val="000A3F03"/>
    <w:rsid w:val="000A4D7E"/>
    <w:rsid w:val="000A5829"/>
    <w:rsid w:val="000A5F3A"/>
    <w:rsid w:val="000A6526"/>
    <w:rsid w:val="000A65A7"/>
    <w:rsid w:val="000A6EB1"/>
    <w:rsid w:val="000A72CB"/>
    <w:rsid w:val="000A7E15"/>
    <w:rsid w:val="000B0DE6"/>
    <w:rsid w:val="000B10AB"/>
    <w:rsid w:val="000B2865"/>
    <w:rsid w:val="000B2963"/>
    <w:rsid w:val="000B2A80"/>
    <w:rsid w:val="000B3887"/>
    <w:rsid w:val="000B3DAB"/>
    <w:rsid w:val="000B5C43"/>
    <w:rsid w:val="000C04F7"/>
    <w:rsid w:val="000C089E"/>
    <w:rsid w:val="000C0BEB"/>
    <w:rsid w:val="000C0C1A"/>
    <w:rsid w:val="000C13B9"/>
    <w:rsid w:val="000C2445"/>
    <w:rsid w:val="000C2516"/>
    <w:rsid w:val="000C2AFA"/>
    <w:rsid w:val="000C2F5D"/>
    <w:rsid w:val="000C3C85"/>
    <w:rsid w:val="000C5384"/>
    <w:rsid w:val="000C53FB"/>
    <w:rsid w:val="000C5B0E"/>
    <w:rsid w:val="000C5F0D"/>
    <w:rsid w:val="000C7ED2"/>
    <w:rsid w:val="000D0179"/>
    <w:rsid w:val="000D17AA"/>
    <w:rsid w:val="000D1EBE"/>
    <w:rsid w:val="000D27E3"/>
    <w:rsid w:val="000D373C"/>
    <w:rsid w:val="000D3DB4"/>
    <w:rsid w:val="000D4751"/>
    <w:rsid w:val="000D4DEE"/>
    <w:rsid w:val="000D53E3"/>
    <w:rsid w:val="000D5DFF"/>
    <w:rsid w:val="000D6497"/>
    <w:rsid w:val="000D7C2B"/>
    <w:rsid w:val="000E0C63"/>
    <w:rsid w:val="000E0C7C"/>
    <w:rsid w:val="000E0EC2"/>
    <w:rsid w:val="000E138C"/>
    <w:rsid w:val="000E2411"/>
    <w:rsid w:val="000E265B"/>
    <w:rsid w:val="000E2E2F"/>
    <w:rsid w:val="000E2F51"/>
    <w:rsid w:val="000E334E"/>
    <w:rsid w:val="000E39C2"/>
    <w:rsid w:val="000E3BB4"/>
    <w:rsid w:val="000E3EAF"/>
    <w:rsid w:val="000E4151"/>
    <w:rsid w:val="000E4CFC"/>
    <w:rsid w:val="000E5F5C"/>
    <w:rsid w:val="000E62E0"/>
    <w:rsid w:val="000E710A"/>
    <w:rsid w:val="000E77FA"/>
    <w:rsid w:val="000F026F"/>
    <w:rsid w:val="000F08DA"/>
    <w:rsid w:val="000F0E4D"/>
    <w:rsid w:val="000F13B8"/>
    <w:rsid w:val="000F1536"/>
    <w:rsid w:val="000F29FC"/>
    <w:rsid w:val="000F3645"/>
    <w:rsid w:val="000F36D4"/>
    <w:rsid w:val="000F528F"/>
    <w:rsid w:val="000F5BFE"/>
    <w:rsid w:val="000F6951"/>
    <w:rsid w:val="000F6F4F"/>
    <w:rsid w:val="000F7003"/>
    <w:rsid w:val="001003F8"/>
    <w:rsid w:val="00100700"/>
    <w:rsid w:val="001013D7"/>
    <w:rsid w:val="0010146A"/>
    <w:rsid w:val="00101CBB"/>
    <w:rsid w:val="00101F5C"/>
    <w:rsid w:val="00102750"/>
    <w:rsid w:val="00102CCE"/>
    <w:rsid w:val="00103290"/>
    <w:rsid w:val="001032B0"/>
    <w:rsid w:val="00104284"/>
    <w:rsid w:val="00104913"/>
    <w:rsid w:val="00105350"/>
    <w:rsid w:val="00105959"/>
    <w:rsid w:val="00106C32"/>
    <w:rsid w:val="001072AB"/>
    <w:rsid w:val="00107F3C"/>
    <w:rsid w:val="0011045F"/>
    <w:rsid w:val="00112680"/>
    <w:rsid w:val="001128A4"/>
    <w:rsid w:val="00114CB1"/>
    <w:rsid w:val="00115135"/>
    <w:rsid w:val="0011536A"/>
    <w:rsid w:val="00115E3D"/>
    <w:rsid w:val="0011639E"/>
    <w:rsid w:val="00116E6B"/>
    <w:rsid w:val="0011718D"/>
    <w:rsid w:val="00117C27"/>
    <w:rsid w:val="00117EB2"/>
    <w:rsid w:val="0012043C"/>
    <w:rsid w:val="001224FF"/>
    <w:rsid w:val="0012314F"/>
    <w:rsid w:val="0012461D"/>
    <w:rsid w:val="0012479C"/>
    <w:rsid w:val="00125BD7"/>
    <w:rsid w:val="001267EC"/>
    <w:rsid w:val="00126920"/>
    <w:rsid w:val="00126B6E"/>
    <w:rsid w:val="00126F69"/>
    <w:rsid w:val="001276E3"/>
    <w:rsid w:val="001300DD"/>
    <w:rsid w:val="0013041A"/>
    <w:rsid w:val="00130743"/>
    <w:rsid w:val="00130E44"/>
    <w:rsid w:val="001312C8"/>
    <w:rsid w:val="0013177F"/>
    <w:rsid w:val="00131818"/>
    <w:rsid w:val="00132619"/>
    <w:rsid w:val="001335EE"/>
    <w:rsid w:val="001349E2"/>
    <w:rsid w:val="00134C05"/>
    <w:rsid w:val="00134CD2"/>
    <w:rsid w:val="001353D9"/>
    <w:rsid w:val="00135711"/>
    <w:rsid w:val="00136156"/>
    <w:rsid w:val="0013778B"/>
    <w:rsid w:val="00141302"/>
    <w:rsid w:val="00141305"/>
    <w:rsid w:val="001413D3"/>
    <w:rsid w:val="001419D5"/>
    <w:rsid w:val="00141FC6"/>
    <w:rsid w:val="00142062"/>
    <w:rsid w:val="001428B9"/>
    <w:rsid w:val="001429E5"/>
    <w:rsid w:val="00143639"/>
    <w:rsid w:val="001450C2"/>
    <w:rsid w:val="00145DFF"/>
    <w:rsid w:val="001467E9"/>
    <w:rsid w:val="001469D4"/>
    <w:rsid w:val="00146CD4"/>
    <w:rsid w:val="0014749C"/>
    <w:rsid w:val="001475CB"/>
    <w:rsid w:val="00147BB5"/>
    <w:rsid w:val="00147CA3"/>
    <w:rsid w:val="00147F34"/>
    <w:rsid w:val="0015096F"/>
    <w:rsid w:val="00150AC2"/>
    <w:rsid w:val="00150AEB"/>
    <w:rsid w:val="001511CF"/>
    <w:rsid w:val="001514AB"/>
    <w:rsid w:val="00151862"/>
    <w:rsid w:val="001532C7"/>
    <w:rsid w:val="00153722"/>
    <w:rsid w:val="00154A01"/>
    <w:rsid w:val="00155283"/>
    <w:rsid w:val="001553D1"/>
    <w:rsid w:val="00155D02"/>
    <w:rsid w:val="001568A8"/>
    <w:rsid w:val="00157127"/>
    <w:rsid w:val="001571E0"/>
    <w:rsid w:val="001578A0"/>
    <w:rsid w:val="00157967"/>
    <w:rsid w:val="0016023D"/>
    <w:rsid w:val="00161627"/>
    <w:rsid w:val="00162AEB"/>
    <w:rsid w:val="00163193"/>
    <w:rsid w:val="001651F4"/>
    <w:rsid w:val="001656A9"/>
    <w:rsid w:val="001656F8"/>
    <w:rsid w:val="00165DC2"/>
    <w:rsid w:val="00165F6C"/>
    <w:rsid w:val="00166B00"/>
    <w:rsid w:val="001672F9"/>
    <w:rsid w:val="00167AD6"/>
    <w:rsid w:val="00170416"/>
    <w:rsid w:val="00170A40"/>
    <w:rsid w:val="00170D07"/>
    <w:rsid w:val="001716E9"/>
    <w:rsid w:val="00171AED"/>
    <w:rsid w:val="00172688"/>
    <w:rsid w:val="001726C6"/>
    <w:rsid w:val="001744A8"/>
    <w:rsid w:val="0017463A"/>
    <w:rsid w:val="00174B05"/>
    <w:rsid w:val="00174E86"/>
    <w:rsid w:val="00174F14"/>
    <w:rsid w:val="00175087"/>
    <w:rsid w:val="0017534A"/>
    <w:rsid w:val="00175E3A"/>
    <w:rsid w:val="00176F45"/>
    <w:rsid w:val="00177275"/>
    <w:rsid w:val="00177896"/>
    <w:rsid w:val="00177C22"/>
    <w:rsid w:val="00177C40"/>
    <w:rsid w:val="00177FC5"/>
    <w:rsid w:val="00180C9C"/>
    <w:rsid w:val="00181D1D"/>
    <w:rsid w:val="00182E77"/>
    <w:rsid w:val="001832F7"/>
    <w:rsid w:val="00183846"/>
    <w:rsid w:val="001839B5"/>
    <w:rsid w:val="00183E9A"/>
    <w:rsid w:val="00184016"/>
    <w:rsid w:val="00184F9A"/>
    <w:rsid w:val="00184FD5"/>
    <w:rsid w:val="00186726"/>
    <w:rsid w:val="001869E4"/>
    <w:rsid w:val="00186D08"/>
    <w:rsid w:val="00187A6E"/>
    <w:rsid w:val="00187BF4"/>
    <w:rsid w:val="00187F5D"/>
    <w:rsid w:val="0019017F"/>
    <w:rsid w:val="001907DF"/>
    <w:rsid w:val="00191236"/>
    <w:rsid w:val="0019252D"/>
    <w:rsid w:val="001933BB"/>
    <w:rsid w:val="00193570"/>
    <w:rsid w:val="00193678"/>
    <w:rsid w:val="00194135"/>
    <w:rsid w:val="00194468"/>
    <w:rsid w:val="001946A1"/>
    <w:rsid w:val="00194D69"/>
    <w:rsid w:val="00194DFE"/>
    <w:rsid w:val="0019564D"/>
    <w:rsid w:val="001956E4"/>
    <w:rsid w:val="00195E4C"/>
    <w:rsid w:val="00196E5E"/>
    <w:rsid w:val="001977D3"/>
    <w:rsid w:val="001A009D"/>
    <w:rsid w:val="001A02CD"/>
    <w:rsid w:val="001A05CF"/>
    <w:rsid w:val="001A0ACB"/>
    <w:rsid w:val="001A0BB9"/>
    <w:rsid w:val="001A17E2"/>
    <w:rsid w:val="001A190A"/>
    <w:rsid w:val="001A1A34"/>
    <w:rsid w:val="001A20A2"/>
    <w:rsid w:val="001A253E"/>
    <w:rsid w:val="001A3316"/>
    <w:rsid w:val="001A3499"/>
    <w:rsid w:val="001A6EEB"/>
    <w:rsid w:val="001A7138"/>
    <w:rsid w:val="001A7381"/>
    <w:rsid w:val="001A76EE"/>
    <w:rsid w:val="001A7B46"/>
    <w:rsid w:val="001A7D62"/>
    <w:rsid w:val="001B0290"/>
    <w:rsid w:val="001B038A"/>
    <w:rsid w:val="001B0799"/>
    <w:rsid w:val="001B1885"/>
    <w:rsid w:val="001B242E"/>
    <w:rsid w:val="001B2F4D"/>
    <w:rsid w:val="001B3825"/>
    <w:rsid w:val="001B6089"/>
    <w:rsid w:val="001B75CE"/>
    <w:rsid w:val="001B7AD4"/>
    <w:rsid w:val="001C0427"/>
    <w:rsid w:val="001C0635"/>
    <w:rsid w:val="001C1108"/>
    <w:rsid w:val="001C2242"/>
    <w:rsid w:val="001C2E73"/>
    <w:rsid w:val="001C3034"/>
    <w:rsid w:val="001C3821"/>
    <w:rsid w:val="001C4865"/>
    <w:rsid w:val="001C5EB2"/>
    <w:rsid w:val="001C635B"/>
    <w:rsid w:val="001C778A"/>
    <w:rsid w:val="001C7CAA"/>
    <w:rsid w:val="001D0008"/>
    <w:rsid w:val="001D0389"/>
    <w:rsid w:val="001D0EE2"/>
    <w:rsid w:val="001D320A"/>
    <w:rsid w:val="001D3A93"/>
    <w:rsid w:val="001D4CD8"/>
    <w:rsid w:val="001D5928"/>
    <w:rsid w:val="001D68BF"/>
    <w:rsid w:val="001D6DDC"/>
    <w:rsid w:val="001E00BD"/>
    <w:rsid w:val="001E020A"/>
    <w:rsid w:val="001E048D"/>
    <w:rsid w:val="001E2696"/>
    <w:rsid w:val="001E2EB5"/>
    <w:rsid w:val="001E3CE3"/>
    <w:rsid w:val="001E3D63"/>
    <w:rsid w:val="001E4AB4"/>
    <w:rsid w:val="001E550F"/>
    <w:rsid w:val="001E59FF"/>
    <w:rsid w:val="001E6849"/>
    <w:rsid w:val="001E717B"/>
    <w:rsid w:val="001E7B86"/>
    <w:rsid w:val="001E7E5A"/>
    <w:rsid w:val="001F0978"/>
    <w:rsid w:val="001F0E74"/>
    <w:rsid w:val="001F154E"/>
    <w:rsid w:val="001F19B1"/>
    <w:rsid w:val="001F24C2"/>
    <w:rsid w:val="001F318B"/>
    <w:rsid w:val="001F4B70"/>
    <w:rsid w:val="001F4EB3"/>
    <w:rsid w:val="001F58C7"/>
    <w:rsid w:val="001F5CFB"/>
    <w:rsid w:val="001F5E82"/>
    <w:rsid w:val="001F6254"/>
    <w:rsid w:val="001F663B"/>
    <w:rsid w:val="001F67EA"/>
    <w:rsid w:val="001F6B5D"/>
    <w:rsid w:val="001F79EC"/>
    <w:rsid w:val="001F7D27"/>
    <w:rsid w:val="002001EC"/>
    <w:rsid w:val="002004FF"/>
    <w:rsid w:val="00200574"/>
    <w:rsid w:val="00201302"/>
    <w:rsid w:val="00201AF9"/>
    <w:rsid w:val="00203701"/>
    <w:rsid w:val="002043F0"/>
    <w:rsid w:val="00204CD3"/>
    <w:rsid w:val="00205339"/>
    <w:rsid w:val="002054D2"/>
    <w:rsid w:val="002055CC"/>
    <w:rsid w:val="0020562D"/>
    <w:rsid w:val="00206778"/>
    <w:rsid w:val="00207758"/>
    <w:rsid w:val="00207C0B"/>
    <w:rsid w:val="00210B74"/>
    <w:rsid w:val="00210BE8"/>
    <w:rsid w:val="002110E4"/>
    <w:rsid w:val="002124EE"/>
    <w:rsid w:val="002126EC"/>
    <w:rsid w:val="00212A42"/>
    <w:rsid w:val="00213C7A"/>
    <w:rsid w:val="00214B66"/>
    <w:rsid w:val="00215754"/>
    <w:rsid w:val="00216287"/>
    <w:rsid w:val="00216FEB"/>
    <w:rsid w:val="00217022"/>
    <w:rsid w:val="0021790A"/>
    <w:rsid w:val="00220277"/>
    <w:rsid w:val="002203E1"/>
    <w:rsid w:val="0022129E"/>
    <w:rsid w:val="0022149B"/>
    <w:rsid w:val="00221529"/>
    <w:rsid w:val="0022152B"/>
    <w:rsid w:val="002225D7"/>
    <w:rsid w:val="00222626"/>
    <w:rsid w:val="00223F0E"/>
    <w:rsid w:val="002245D7"/>
    <w:rsid w:val="00225F10"/>
    <w:rsid w:val="00226181"/>
    <w:rsid w:val="00226834"/>
    <w:rsid w:val="002278B4"/>
    <w:rsid w:val="002278BC"/>
    <w:rsid w:val="00230A4D"/>
    <w:rsid w:val="00230E50"/>
    <w:rsid w:val="00231C56"/>
    <w:rsid w:val="00231C90"/>
    <w:rsid w:val="00231FDA"/>
    <w:rsid w:val="002345CC"/>
    <w:rsid w:val="00235FCB"/>
    <w:rsid w:val="00236AA9"/>
    <w:rsid w:val="002373CB"/>
    <w:rsid w:val="0023790C"/>
    <w:rsid w:val="00237EA8"/>
    <w:rsid w:val="00240E76"/>
    <w:rsid w:val="00241BE2"/>
    <w:rsid w:val="002426B3"/>
    <w:rsid w:val="00242758"/>
    <w:rsid w:val="0024303F"/>
    <w:rsid w:val="00245685"/>
    <w:rsid w:val="00245C1A"/>
    <w:rsid w:val="00245D4F"/>
    <w:rsid w:val="00245E99"/>
    <w:rsid w:val="0024623D"/>
    <w:rsid w:val="0024659C"/>
    <w:rsid w:val="0024683D"/>
    <w:rsid w:val="00246C3E"/>
    <w:rsid w:val="00250DE4"/>
    <w:rsid w:val="00251CF2"/>
    <w:rsid w:val="00253098"/>
    <w:rsid w:val="002540F7"/>
    <w:rsid w:val="00254C2E"/>
    <w:rsid w:val="002551E4"/>
    <w:rsid w:val="002553AC"/>
    <w:rsid w:val="00255C10"/>
    <w:rsid w:val="00257597"/>
    <w:rsid w:val="002575C1"/>
    <w:rsid w:val="00257928"/>
    <w:rsid w:val="00257CBC"/>
    <w:rsid w:val="002604C5"/>
    <w:rsid w:val="00261B90"/>
    <w:rsid w:val="0026276C"/>
    <w:rsid w:val="00262D50"/>
    <w:rsid w:val="0026344E"/>
    <w:rsid w:val="002641A7"/>
    <w:rsid w:val="002647B6"/>
    <w:rsid w:val="002649A4"/>
    <w:rsid w:val="00265B2A"/>
    <w:rsid w:val="00265DF3"/>
    <w:rsid w:val="00265F11"/>
    <w:rsid w:val="002700DA"/>
    <w:rsid w:val="00270B5E"/>
    <w:rsid w:val="002710E9"/>
    <w:rsid w:val="0027147C"/>
    <w:rsid w:val="00271651"/>
    <w:rsid w:val="00271A40"/>
    <w:rsid w:val="00272895"/>
    <w:rsid w:val="00273E4B"/>
    <w:rsid w:val="00274CEE"/>
    <w:rsid w:val="00274D1A"/>
    <w:rsid w:val="0027639E"/>
    <w:rsid w:val="00276E43"/>
    <w:rsid w:val="00276EE0"/>
    <w:rsid w:val="002779C4"/>
    <w:rsid w:val="00277CF6"/>
    <w:rsid w:val="0028000E"/>
    <w:rsid w:val="00280A90"/>
    <w:rsid w:val="00280BCA"/>
    <w:rsid w:val="00280D80"/>
    <w:rsid w:val="002811F8"/>
    <w:rsid w:val="002817ED"/>
    <w:rsid w:val="00282359"/>
    <w:rsid w:val="0028356C"/>
    <w:rsid w:val="00284687"/>
    <w:rsid w:val="00284B9D"/>
    <w:rsid w:val="00285809"/>
    <w:rsid w:val="0028583B"/>
    <w:rsid w:val="00285F21"/>
    <w:rsid w:val="0028624B"/>
    <w:rsid w:val="00287205"/>
    <w:rsid w:val="0029093B"/>
    <w:rsid w:val="002914C7"/>
    <w:rsid w:val="00291FD0"/>
    <w:rsid w:val="00293B49"/>
    <w:rsid w:val="0029515D"/>
    <w:rsid w:val="00295852"/>
    <w:rsid w:val="00296F13"/>
    <w:rsid w:val="002974B9"/>
    <w:rsid w:val="00297B84"/>
    <w:rsid w:val="002A0103"/>
    <w:rsid w:val="002A0E34"/>
    <w:rsid w:val="002A34F1"/>
    <w:rsid w:val="002A3BEC"/>
    <w:rsid w:val="002A3FCC"/>
    <w:rsid w:val="002A4E0D"/>
    <w:rsid w:val="002A56D4"/>
    <w:rsid w:val="002A65E5"/>
    <w:rsid w:val="002A6B35"/>
    <w:rsid w:val="002A77D5"/>
    <w:rsid w:val="002A7D12"/>
    <w:rsid w:val="002B04DB"/>
    <w:rsid w:val="002B0EA3"/>
    <w:rsid w:val="002B2752"/>
    <w:rsid w:val="002B279C"/>
    <w:rsid w:val="002B2CE9"/>
    <w:rsid w:val="002B3C92"/>
    <w:rsid w:val="002B516B"/>
    <w:rsid w:val="002B5971"/>
    <w:rsid w:val="002B5A0B"/>
    <w:rsid w:val="002B691B"/>
    <w:rsid w:val="002B7C75"/>
    <w:rsid w:val="002C0002"/>
    <w:rsid w:val="002C0203"/>
    <w:rsid w:val="002C0D54"/>
    <w:rsid w:val="002C0D7E"/>
    <w:rsid w:val="002C22F9"/>
    <w:rsid w:val="002C37A5"/>
    <w:rsid w:val="002C37F8"/>
    <w:rsid w:val="002C4A9C"/>
    <w:rsid w:val="002C4DF2"/>
    <w:rsid w:val="002C4DF4"/>
    <w:rsid w:val="002C5A0A"/>
    <w:rsid w:val="002C5B6A"/>
    <w:rsid w:val="002C62CE"/>
    <w:rsid w:val="002C7A1A"/>
    <w:rsid w:val="002C7F0B"/>
    <w:rsid w:val="002D0234"/>
    <w:rsid w:val="002D0296"/>
    <w:rsid w:val="002D06E8"/>
    <w:rsid w:val="002D0C46"/>
    <w:rsid w:val="002D0F55"/>
    <w:rsid w:val="002D0FE6"/>
    <w:rsid w:val="002D1EAC"/>
    <w:rsid w:val="002D24E3"/>
    <w:rsid w:val="002D3E10"/>
    <w:rsid w:val="002D43AA"/>
    <w:rsid w:val="002D548B"/>
    <w:rsid w:val="002D59BC"/>
    <w:rsid w:val="002D671B"/>
    <w:rsid w:val="002D6B51"/>
    <w:rsid w:val="002D6C5E"/>
    <w:rsid w:val="002D7AC1"/>
    <w:rsid w:val="002E00E8"/>
    <w:rsid w:val="002E011C"/>
    <w:rsid w:val="002E0765"/>
    <w:rsid w:val="002E0E99"/>
    <w:rsid w:val="002E2142"/>
    <w:rsid w:val="002E2308"/>
    <w:rsid w:val="002E2D36"/>
    <w:rsid w:val="002E3176"/>
    <w:rsid w:val="002E359C"/>
    <w:rsid w:val="002E388D"/>
    <w:rsid w:val="002E38A9"/>
    <w:rsid w:val="002E417E"/>
    <w:rsid w:val="002E46E7"/>
    <w:rsid w:val="002E53A1"/>
    <w:rsid w:val="002E6144"/>
    <w:rsid w:val="002E737F"/>
    <w:rsid w:val="002E78F7"/>
    <w:rsid w:val="002F0AF3"/>
    <w:rsid w:val="002F0B65"/>
    <w:rsid w:val="002F11DD"/>
    <w:rsid w:val="002F182B"/>
    <w:rsid w:val="002F22BE"/>
    <w:rsid w:val="002F293A"/>
    <w:rsid w:val="002F3F91"/>
    <w:rsid w:val="002F43AD"/>
    <w:rsid w:val="002F45F6"/>
    <w:rsid w:val="002F54B2"/>
    <w:rsid w:val="002F59B3"/>
    <w:rsid w:val="002F5B89"/>
    <w:rsid w:val="002F7027"/>
    <w:rsid w:val="002F74AB"/>
    <w:rsid w:val="0030009C"/>
    <w:rsid w:val="00300498"/>
    <w:rsid w:val="00300FE0"/>
    <w:rsid w:val="00301D4F"/>
    <w:rsid w:val="00302131"/>
    <w:rsid w:val="00302979"/>
    <w:rsid w:val="003031A3"/>
    <w:rsid w:val="00303993"/>
    <w:rsid w:val="00303E86"/>
    <w:rsid w:val="0030500B"/>
    <w:rsid w:val="0030522D"/>
    <w:rsid w:val="0030555D"/>
    <w:rsid w:val="003056FA"/>
    <w:rsid w:val="00305B27"/>
    <w:rsid w:val="00306191"/>
    <w:rsid w:val="00307934"/>
    <w:rsid w:val="00310230"/>
    <w:rsid w:val="00310440"/>
    <w:rsid w:val="00310DAB"/>
    <w:rsid w:val="0031162D"/>
    <w:rsid w:val="00311A36"/>
    <w:rsid w:val="00311FFC"/>
    <w:rsid w:val="0031262A"/>
    <w:rsid w:val="0031295B"/>
    <w:rsid w:val="003130D9"/>
    <w:rsid w:val="00313A00"/>
    <w:rsid w:val="00313D64"/>
    <w:rsid w:val="00313E75"/>
    <w:rsid w:val="003142D2"/>
    <w:rsid w:val="0031578E"/>
    <w:rsid w:val="0031589C"/>
    <w:rsid w:val="0031623E"/>
    <w:rsid w:val="0031624E"/>
    <w:rsid w:val="003178C5"/>
    <w:rsid w:val="003179A3"/>
    <w:rsid w:val="003204E4"/>
    <w:rsid w:val="00320AF2"/>
    <w:rsid w:val="00320DAD"/>
    <w:rsid w:val="00321059"/>
    <w:rsid w:val="00321C50"/>
    <w:rsid w:val="00321D9C"/>
    <w:rsid w:val="00321EAB"/>
    <w:rsid w:val="00321F2E"/>
    <w:rsid w:val="00323D6A"/>
    <w:rsid w:val="00323F8C"/>
    <w:rsid w:val="00324371"/>
    <w:rsid w:val="00324C14"/>
    <w:rsid w:val="00327022"/>
    <w:rsid w:val="00327169"/>
    <w:rsid w:val="00327441"/>
    <w:rsid w:val="003275AB"/>
    <w:rsid w:val="0033089A"/>
    <w:rsid w:val="00332FA6"/>
    <w:rsid w:val="003335B1"/>
    <w:rsid w:val="00333EE1"/>
    <w:rsid w:val="00334338"/>
    <w:rsid w:val="00334617"/>
    <w:rsid w:val="00334C48"/>
    <w:rsid w:val="00334D73"/>
    <w:rsid w:val="00335817"/>
    <w:rsid w:val="00335B15"/>
    <w:rsid w:val="00336248"/>
    <w:rsid w:val="00336CE6"/>
    <w:rsid w:val="00337125"/>
    <w:rsid w:val="003419B9"/>
    <w:rsid w:val="00342444"/>
    <w:rsid w:val="00343F7D"/>
    <w:rsid w:val="00344344"/>
    <w:rsid w:val="00344582"/>
    <w:rsid w:val="00345EA4"/>
    <w:rsid w:val="003465E3"/>
    <w:rsid w:val="00346C06"/>
    <w:rsid w:val="00347AF3"/>
    <w:rsid w:val="00347AF5"/>
    <w:rsid w:val="00347D8C"/>
    <w:rsid w:val="00347E65"/>
    <w:rsid w:val="003508D3"/>
    <w:rsid w:val="00350FDB"/>
    <w:rsid w:val="003511C2"/>
    <w:rsid w:val="003521DF"/>
    <w:rsid w:val="0035253A"/>
    <w:rsid w:val="00352BAF"/>
    <w:rsid w:val="00353F31"/>
    <w:rsid w:val="003540B2"/>
    <w:rsid w:val="003542C3"/>
    <w:rsid w:val="003559A3"/>
    <w:rsid w:val="00356257"/>
    <w:rsid w:val="00357469"/>
    <w:rsid w:val="003613C2"/>
    <w:rsid w:val="00361965"/>
    <w:rsid w:val="00361BFD"/>
    <w:rsid w:val="003624E8"/>
    <w:rsid w:val="003626ED"/>
    <w:rsid w:val="00362EAA"/>
    <w:rsid w:val="003634A1"/>
    <w:rsid w:val="00363CFB"/>
    <w:rsid w:val="003654A6"/>
    <w:rsid w:val="003655BF"/>
    <w:rsid w:val="003657B7"/>
    <w:rsid w:val="00366772"/>
    <w:rsid w:val="00366A1E"/>
    <w:rsid w:val="00367062"/>
    <w:rsid w:val="003679EF"/>
    <w:rsid w:val="00370B46"/>
    <w:rsid w:val="00371B75"/>
    <w:rsid w:val="00371EEB"/>
    <w:rsid w:val="003727FE"/>
    <w:rsid w:val="003733E8"/>
    <w:rsid w:val="00373885"/>
    <w:rsid w:val="003740F2"/>
    <w:rsid w:val="00374983"/>
    <w:rsid w:val="00374DE8"/>
    <w:rsid w:val="00374E28"/>
    <w:rsid w:val="003750AA"/>
    <w:rsid w:val="00375645"/>
    <w:rsid w:val="0037662B"/>
    <w:rsid w:val="0037671C"/>
    <w:rsid w:val="00377B9B"/>
    <w:rsid w:val="00377F7D"/>
    <w:rsid w:val="00380A9E"/>
    <w:rsid w:val="00380F6F"/>
    <w:rsid w:val="003829BE"/>
    <w:rsid w:val="003839BB"/>
    <w:rsid w:val="0038444F"/>
    <w:rsid w:val="00384B5C"/>
    <w:rsid w:val="00385246"/>
    <w:rsid w:val="003864B7"/>
    <w:rsid w:val="0039024F"/>
    <w:rsid w:val="003919EB"/>
    <w:rsid w:val="0039204B"/>
    <w:rsid w:val="00393415"/>
    <w:rsid w:val="00393A10"/>
    <w:rsid w:val="00395A24"/>
    <w:rsid w:val="00395B54"/>
    <w:rsid w:val="00395FAA"/>
    <w:rsid w:val="003968D1"/>
    <w:rsid w:val="00397C97"/>
    <w:rsid w:val="00397CEE"/>
    <w:rsid w:val="003A0463"/>
    <w:rsid w:val="003A0AEE"/>
    <w:rsid w:val="003A134A"/>
    <w:rsid w:val="003A1B17"/>
    <w:rsid w:val="003A475A"/>
    <w:rsid w:val="003A4846"/>
    <w:rsid w:val="003A4D76"/>
    <w:rsid w:val="003A6393"/>
    <w:rsid w:val="003A6BA8"/>
    <w:rsid w:val="003B0702"/>
    <w:rsid w:val="003B0878"/>
    <w:rsid w:val="003B09BE"/>
    <w:rsid w:val="003B0A36"/>
    <w:rsid w:val="003B0AB0"/>
    <w:rsid w:val="003B0B65"/>
    <w:rsid w:val="003B1FE1"/>
    <w:rsid w:val="003B21C5"/>
    <w:rsid w:val="003B2550"/>
    <w:rsid w:val="003B3997"/>
    <w:rsid w:val="003B4153"/>
    <w:rsid w:val="003B47AC"/>
    <w:rsid w:val="003B4CDE"/>
    <w:rsid w:val="003B4F61"/>
    <w:rsid w:val="003B51AF"/>
    <w:rsid w:val="003B51CD"/>
    <w:rsid w:val="003B5274"/>
    <w:rsid w:val="003B5686"/>
    <w:rsid w:val="003B56B1"/>
    <w:rsid w:val="003B58A3"/>
    <w:rsid w:val="003B6632"/>
    <w:rsid w:val="003B761E"/>
    <w:rsid w:val="003B7AC3"/>
    <w:rsid w:val="003C0328"/>
    <w:rsid w:val="003C0350"/>
    <w:rsid w:val="003C0AF9"/>
    <w:rsid w:val="003C1058"/>
    <w:rsid w:val="003C1087"/>
    <w:rsid w:val="003C22A9"/>
    <w:rsid w:val="003C3698"/>
    <w:rsid w:val="003C501C"/>
    <w:rsid w:val="003C5027"/>
    <w:rsid w:val="003C5648"/>
    <w:rsid w:val="003C57B9"/>
    <w:rsid w:val="003C581F"/>
    <w:rsid w:val="003C643B"/>
    <w:rsid w:val="003C68DF"/>
    <w:rsid w:val="003C7F6A"/>
    <w:rsid w:val="003D10AA"/>
    <w:rsid w:val="003D1160"/>
    <w:rsid w:val="003D1AF9"/>
    <w:rsid w:val="003D1E07"/>
    <w:rsid w:val="003D294B"/>
    <w:rsid w:val="003D3122"/>
    <w:rsid w:val="003D33AD"/>
    <w:rsid w:val="003D3646"/>
    <w:rsid w:val="003D39FE"/>
    <w:rsid w:val="003D58B0"/>
    <w:rsid w:val="003D6783"/>
    <w:rsid w:val="003D6839"/>
    <w:rsid w:val="003D6B46"/>
    <w:rsid w:val="003D6DAD"/>
    <w:rsid w:val="003D7507"/>
    <w:rsid w:val="003D7C8F"/>
    <w:rsid w:val="003D7FED"/>
    <w:rsid w:val="003E02CA"/>
    <w:rsid w:val="003E145F"/>
    <w:rsid w:val="003E203C"/>
    <w:rsid w:val="003E2BFC"/>
    <w:rsid w:val="003E3644"/>
    <w:rsid w:val="003E3A20"/>
    <w:rsid w:val="003E406C"/>
    <w:rsid w:val="003E422F"/>
    <w:rsid w:val="003E47B2"/>
    <w:rsid w:val="003E49DE"/>
    <w:rsid w:val="003E52F9"/>
    <w:rsid w:val="003E5CDB"/>
    <w:rsid w:val="003E6A24"/>
    <w:rsid w:val="003E6C0E"/>
    <w:rsid w:val="003E7034"/>
    <w:rsid w:val="003E76AC"/>
    <w:rsid w:val="003E795E"/>
    <w:rsid w:val="003E7B87"/>
    <w:rsid w:val="003F06C2"/>
    <w:rsid w:val="003F1C90"/>
    <w:rsid w:val="003F2132"/>
    <w:rsid w:val="003F23CD"/>
    <w:rsid w:val="003F491F"/>
    <w:rsid w:val="003F4B33"/>
    <w:rsid w:val="003F4C3B"/>
    <w:rsid w:val="003F4FB5"/>
    <w:rsid w:val="003F5112"/>
    <w:rsid w:val="003F53A5"/>
    <w:rsid w:val="003F5BA2"/>
    <w:rsid w:val="003F619E"/>
    <w:rsid w:val="003F724F"/>
    <w:rsid w:val="00400A9C"/>
    <w:rsid w:val="00400EB9"/>
    <w:rsid w:val="00401227"/>
    <w:rsid w:val="004013F1"/>
    <w:rsid w:val="00402439"/>
    <w:rsid w:val="004026DF"/>
    <w:rsid w:val="00402F39"/>
    <w:rsid w:val="00403E07"/>
    <w:rsid w:val="004042C7"/>
    <w:rsid w:val="00404724"/>
    <w:rsid w:val="00404A6F"/>
    <w:rsid w:val="00405837"/>
    <w:rsid w:val="00406598"/>
    <w:rsid w:val="00406AE9"/>
    <w:rsid w:val="004100E4"/>
    <w:rsid w:val="004105D0"/>
    <w:rsid w:val="004108CA"/>
    <w:rsid w:val="00410FB8"/>
    <w:rsid w:val="00412639"/>
    <w:rsid w:val="004127BB"/>
    <w:rsid w:val="004129A5"/>
    <w:rsid w:val="00412AFF"/>
    <w:rsid w:val="0041489A"/>
    <w:rsid w:val="00415378"/>
    <w:rsid w:val="004155FD"/>
    <w:rsid w:val="00416745"/>
    <w:rsid w:val="0041745C"/>
    <w:rsid w:val="004210A6"/>
    <w:rsid w:val="004210A7"/>
    <w:rsid w:val="00421DC7"/>
    <w:rsid w:val="00421EB0"/>
    <w:rsid w:val="004221D3"/>
    <w:rsid w:val="00422470"/>
    <w:rsid w:val="00422DD2"/>
    <w:rsid w:val="00423011"/>
    <w:rsid w:val="00423326"/>
    <w:rsid w:val="00424AEF"/>
    <w:rsid w:val="00425760"/>
    <w:rsid w:val="0042633A"/>
    <w:rsid w:val="0042778C"/>
    <w:rsid w:val="00427A7B"/>
    <w:rsid w:val="00431171"/>
    <w:rsid w:val="004311F1"/>
    <w:rsid w:val="00431913"/>
    <w:rsid w:val="00431AA4"/>
    <w:rsid w:val="00431E84"/>
    <w:rsid w:val="00432202"/>
    <w:rsid w:val="004326F3"/>
    <w:rsid w:val="004328A5"/>
    <w:rsid w:val="00432998"/>
    <w:rsid w:val="00433A12"/>
    <w:rsid w:val="00433F56"/>
    <w:rsid w:val="00435F5B"/>
    <w:rsid w:val="00436636"/>
    <w:rsid w:val="004379CB"/>
    <w:rsid w:val="004409AB"/>
    <w:rsid w:val="00440C40"/>
    <w:rsid w:val="0044125A"/>
    <w:rsid w:val="004426CC"/>
    <w:rsid w:val="00443C85"/>
    <w:rsid w:val="00444C29"/>
    <w:rsid w:val="00444F50"/>
    <w:rsid w:val="00445695"/>
    <w:rsid w:val="00445C63"/>
    <w:rsid w:val="004469DD"/>
    <w:rsid w:val="004477CB"/>
    <w:rsid w:val="00447B43"/>
    <w:rsid w:val="0045004C"/>
    <w:rsid w:val="0045034A"/>
    <w:rsid w:val="00450AC5"/>
    <w:rsid w:val="00450DE3"/>
    <w:rsid w:val="004510DB"/>
    <w:rsid w:val="00451180"/>
    <w:rsid w:val="00451484"/>
    <w:rsid w:val="00451775"/>
    <w:rsid w:val="00451CAF"/>
    <w:rsid w:val="00451E00"/>
    <w:rsid w:val="004524C0"/>
    <w:rsid w:val="00452599"/>
    <w:rsid w:val="00452975"/>
    <w:rsid w:val="00453670"/>
    <w:rsid w:val="00453A3B"/>
    <w:rsid w:val="00453F4E"/>
    <w:rsid w:val="004540D7"/>
    <w:rsid w:val="0045561C"/>
    <w:rsid w:val="00455D80"/>
    <w:rsid w:val="00456209"/>
    <w:rsid w:val="004564A1"/>
    <w:rsid w:val="00456C93"/>
    <w:rsid w:val="00457BBB"/>
    <w:rsid w:val="00460225"/>
    <w:rsid w:val="004605C8"/>
    <w:rsid w:val="00460A8A"/>
    <w:rsid w:val="00461C94"/>
    <w:rsid w:val="004629A9"/>
    <w:rsid w:val="00463285"/>
    <w:rsid w:val="00463439"/>
    <w:rsid w:val="00463A6D"/>
    <w:rsid w:val="00464AD4"/>
    <w:rsid w:val="00464E11"/>
    <w:rsid w:val="00465811"/>
    <w:rsid w:val="00465839"/>
    <w:rsid w:val="00465B74"/>
    <w:rsid w:val="0046626C"/>
    <w:rsid w:val="00466561"/>
    <w:rsid w:val="00466623"/>
    <w:rsid w:val="0046687B"/>
    <w:rsid w:val="00467514"/>
    <w:rsid w:val="0047038C"/>
    <w:rsid w:val="004708B3"/>
    <w:rsid w:val="004712DE"/>
    <w:rsid w:val="00471684"/>
    <w:rsid w:val="00472779"/>
    <w:rsid w:val="00472F1B"/>
    <w:rsid w:val="00473048"/>
    <w:rsid w:val="00474431"/>
    <w:rsid w:val="00475586"/>
    <w:rsid w:val="00475B53"/>
    <w:rsid w:val="00475D7F"/>
    <w:rsid w:val="00476B5B"/>
    <w:rsid w:val="00476D94"/>
    <w:rsid w:val="00476E1B"/>
    <w:rsid w:val="00477359"/>
    <w:rsid w:val="00477BF0"/>
    <w:rsid w:val="00480020"/>
    <w:rsid w:val="004806BF"/>
    <w:rsid w:val="004807BA"/>
    <w:rsid w:val="00480BF1"/>
    <w:rsid w:val="00481627"/>
    <w:rsid w:val="00481CEA"/>
    <w:rsid w:val="00482450"/>
    <w:rsid w:val="00482D70"/>
    <w:rsid w:val="00482D7A"/>
    <w:rsid w:val="004830A9"/>
    <w:rsid w:val="00483544"/>
    <w:rsid w:val="00483636"/>
    <w:rsid w:val="00483DE4"/>
    <w:rsid w:val="0048410B"/>
    <w:rsid w:val="00485229"/>
    <w:rsid w:val="0048548C"/>
    <w:rsid w:val="00485A5C"/>
    <w:rsid w:val="00485FCD"/>
    <w:rsid w:val="00486DFF"/>
    <w:rsid w:val="004873E6"/>
    <w:rsid w:val="004918A8"/>
    <w:rsid w:val="00491E6B"/>
    <w:rsid w:val="004921F2"/>
    <w:rsid w:val="00492B66"/>
    <w:rsid w:val="00493CF8"/>
    <w:rsid w:val="00493E13"/>
    <w:rsid w:val="004946F1"/>
    <w:rsid w:val="0049496B"/>
    <w:rsid w:val="0049509A"/>
    <w:rsid w:val="00496A4F"/>
    <w:rsid w:val="004975FB"/>
    <w:rsid w:val="00497656"/>
    <w:rsid w:val="00497A51"/>
    <w:rsid w:val="004A0039"/>
    <w:rsid w:val="004A0308"/>
    <w:rsid w:val="004A0D2D"/>
    <w:rsid w:val="004A0EB5"/>
    <w:rsid w:val="004A2E02"/>
    <w:rsid w:val="004A2ED9"/>
    <w:rsid w:val="004A341F"/>
    <w:rsid w:val="004A3B84"/>
    <w:rsid w:val="004A3BCB"/>
    <w:rsid w:val="004A3DC5"/>
    <w:rsid w:val="004A3F1C"/>
    <w:rsid w:val="004A42D8"/>
    <w:rsid w:val="004A4B8A"/>
    <w:rsid w:val="004A4FC2"/>
    <w:rsid w:val="004A5196"/>
    <w:rsid w:val="004A55D0"/>
    <w:rsid w:val="004A76DC"/>
    <w:rsid w:val="004B0887"/>
    <w:rsid w:val="004B0D55"/>
    <w:rsid w:val="004B0ECC"/>
    <w:rsid w:val="004B0FDE"/>
    <w:rsid w:val="004B1DFE"/>
    <w:rsid w:val="004B1E2D"/>
    <w:rsid w:val="004B2AD4"/>
    <w:rsid w:val="004B2D13"/>
    <w:rsid w:val="004B3324"/>
    <w:rsid w:val="004B38BF"/>
    <w:rsid w:val="004B4C2F"/>
    <w:rsid w:val="004B5894"/>
    <w:rsid w:val="004B7741"/>
    <w:rsid w:val="004B7AF4"/>
    <w:rsid w:val="004C0624"/>
    <w:rsid w:val="004C06AE"/>
    <w:rsid w:val="004C072E"/>
    <w:rsid w:val="004C1BB8"/>
    <w:rsid w:val="004C1F07"/>
    <w:rsid w:val="004C1FD6"/>
    <w:rsid w:val="004C3821"/>
    <w:rsid w:val="004C3E56"/>
    <w:rsid w:val="004C428D"/>
    <w:rsid w:val="004C5437"/>
    <w:rsid w:val="004C56A2"/>
    <w:rsid w:val="004C5A72"/>
    <w:rsid w:val="004C6561"/>
    <w:rsid w:val="004C6FE1"/>
    <w:rsid w:val="004C7850"/>
    <w:rsid w:val="004D0644"/>
    <w:rsid w:val="004D1115"/>
    <w:rsid w:val="004D1D10"/>
    <w:rsid w:val="004D1FD4"/>
    <w:rsid w:val="004D27CA"/>
    <w:rsid w:val="004D28DE"/>
    <w:rsid w:val="004D2E43"/>
    <w:rsid w:val="004D3E1A"/>
    <w:rsid w:val="004D3F50"/>
    <w:rsid w:val="004D4323"/>
    <w:rsid w:val="004D48D9"/>
    <w:rsid w:val="004D4CD5"/>
    <w:rsid w:val="004D58B3"/>
    <w:rsid w:val="004D6A04"/>
    <w:rsid w:val="004D759A"/>
    <w:rsid w:val="004D7746"/>
    <w:rsid w:val="004D77BE"/>
    <w:rsid w:val="004E2064"/>
    <w:rsid w:val="004E259A"/>
    <w:rsid w:val="004E2A03"/>
    <w:rsid w:val="004E3665"/>
    <w:rsid w:val="004E3D2C"/>
    <w:rsid w:val="004E6186"/>
    <w:rsid w:val="004E6843"/>
    <w:rsid w:val="004E6A4F"/>
    <w:rsid w:val="004E6E0B"/>
    <w:rsid w:val="004F0853"/>
    <w:rsid w:val="004F11D5"/>
    <w:rsid w:val="004F1EBB"/>
    <w:rsid w:val="004F21DB"/>
    <w:rsid w:val="004F2896"/>
    <w:rsid w:val="004F2990"/>
    <w:rsid w:val="004F2AF0"/>
    <w:rsid w:val="004F38FB"/>
    <w:rsid w:val="004F3CBD"/>
    <w:rsid w:val="004F415F"/>
    <w:rsid w:val="004F48FC"/>
    <w:rsid w:val="004F50D5"/>
    <w:rsid w:val="004F5147"/>
    <w:rsid w:val="004F7730"/>
    <w:rsid w:val="004F7E55"/>
    <w:rsid w:val="00500390"/>
    <w:rsid w:val="005005C2"/>
    <w:rsid w:val="005006B3"/>
    <w:rsid w:val="00500A0A"/>
    <w:rsid w:val="00500C2D"/>
    <w:rsid w:val="00500E1D"/>
    <w:rsid w:val="005013CD"/>
    <w:rsid w:val="00501627"/>
    <w:rsid w:val="00501BC0"/>
    <w:rsid w:val="0050226C"/>
    <w:rsid w:val="00502426"/>
    <w:rsid w:val="005027A7"/>
    <w:rsid w:val="00503076"/>
    <w:rsid w:val="005043CF"/>
    <w:rsid w:val="00504C7B"/>
    <w:rsid w:val="00504F96"/>
    <w:rsid w:val="0050563C"/>
    <w:rsid w:val="00505D4C"/>
    <w:rsid w:val="005060D5"/>
    <w:rsid w:val="0050742D"/>
    <w:rsid w:val="0050765E"/>
    <w:rsid w:val="00507B2F"/>
    <w:rsid w:val="00507E12"/>
    <w:rsid w:val="00510D1B"/>
    <w:rsid w:val="00510F8F"/>
    <w:rsid w:val="00511302"/>
    <w:rsid w:val="00511D8C"/>
    <w:rsid w:val="0051238D"/>
    <w:rsid w:val="00512FDB"/>
    <w:rsid w:val="00514787"/>
    <w:rsid w:val="00515365"/>
    <w:rsid w:val="00515462"/>
    <w:rsid w:val="00515969"/>
    <w:rsid w:val="00520AEA"/>
    <w:rsid w:val="00521976"/>
    <w:rsid w:val="0052205A"/>
    <w:rsid w:val="00522B90"/>
    <w:rsid w:val="00523546"/>
    <w:rsid w:val="005237CC"/>
    <w:rsid w:val="00523BA0"/>
    <w:rsid w:val="00524A88"/>
    <w:rsid w:val="0052505C"/>
    <w:rsid w:val="005260D3"/>
    <w:rsid w:val="005265B6"/>
    <w:rsid w:val="00526839"/>
    <w:rsid w:val="00527884"/>
    <w:rsid w:val="00530C05"/>
    <w:rsid w:val="00530E02"/>
    <w:rsid w:val="005326F6"/>
    <w:rsid w:val="0053335A"/>
    <w:rsid w:val="00533911"/>
    <w:rsid w:val="005339B1"/>
    <w:rsid w:val="00533A9E"/>
    <w:rsid w:val="00533E09"/>
    <w:rsid w:val="00535138"/>
    <w:rsid w:val="00535615"/>
    <w:rsid w:val="005359D4"/>
    <w:rsid w:val="00536033"/>
    <w:rsid w:val="00536238"/>
    <w:rsid w:val="00536CC0"/>
    <w:rsid w:val="005370DF"/>
    <w:rsid w:val="005400F9"/>
    <w:rsid w:val="005402A6"/>
    <w:rsid w:val="0054154D"/>
    <w:rsid w:val="0054181B"/>
    <w:rsid w:val="005421B8"/>
    <w:rsid w:val="005436BB"/>
    <w:rsid w:val="00543B76"/>
    <w:rsid w:val="00544721"/>
    <w:rsid w:val="00544C15"/>
    <w:rsid w:val="0054541A"/>
    <w:rsid w:val="0054635F"/>
    <w:rsid w:val="0054675B"/>
    <w:rsid w:val="00547A35"/>
    <w:rsid w:val="00547FCA"/>
    <w:rsid w:val="005503E9"/>
    <w:rsid w:val="00550EB4"/>
    <w:rsid w:val="005517ED"/>
    <w:rsid w:val="005518AB"/>
    <w:rsid w:val="00551C6D"/>
    <w:rsid w:val="005535A7"/>
    <w:rsid w:val="00553EA7"/>
    <w:rsid w:val="00553F0C"/>
    <w:rsid w:val="00555529"/>
    <w:rsid w:val="00555940"/>
    <w:rsid w:val="005561ED"/>
    <w:rsid w:val="00556438"/>
    <w:rsid w:val="00556485"/>
    <w:rsid w:val="005564CB"/>
    <w:rsid w:val="005565DB"/>
    <w:rsid w:val="00556B26"/>
    <w:rsid w:val="00557AB6"/>
    <w:rsid w:val="00560237"/>
    <w:rsid w:val="005603C9"/>
    <w:rsid w:val="00560E84"/>
    <w:rsid w:val="00561034"/>
    <w:rsid w:val="0056281F"/>
    <w:rsid w:val="00563137"/>
    <w:rsid w:val="00563517"/>
    <w:rsid w:val="00564BE2"/>
    <w:rsid w:val="005654E7"/>
    <w:rsid w:val="00565709"/>
    <w:rsid w:val="00565C66"/>
    <w:rsid w:val="005666FF"/>
    <w:rsid w:val="00566D01"/>
    <w:rsid w:val="00567592"/>
    <w:rsid w:val="00567826"/>
    <w:rsid w:val="005678D9"/>
    <w:rsid w:val="00571B4E"/>
    <w:rsid w:val="00572F98"/>
    <w:rsid w:val="00573477"/>
    <w:rsid w:val="00574055"/>
    <w:rsid w:val="005752C2"/>
    <w:rsid w:val="00576915"/>
    <w:rsid w:val="00577ADB"/>
    <w:rsid w:val="00580D74"/>
    <w:rsid w:val="005817D8"/>
    <w:rsid w:val="005818A8"/>
    <w:rsid w:val="00582049"/>
    <w:rsid w:val="00583096"/>
    <w:rsid w:val="0058313B"/>
    <w:rsid w:val="00583BA4"/>
    <w:rsid w:val="005840CF"/>
    <w:rsid w:val="00584AA2"/>
    <w:rsid w:val="005858B9"/>
    <w:rsid w:val="00585998"/>
    <w:rsid w:val="00586340"/>
    <w:rsid w:val="00586CFD"/>
    <w:rsid w:val="005872F6"/>
    <w:rsid w:val="00590613"/>
    <w:rsid w:val="00590D5D"/>
    <w:rsid w:val="005912AF"/>
    <w:rsid w:val="00591DAE"/>
    <w:rsid w:val="00592170"/>
    <w:rsid w:val="00593F63"/>
    <w:rsid w:val="005957A6"/>
    <w:rsid w:val="00595ABC"/>
    <w:rsid w:val="0059686F"/>
    <w:rsid w:val="005A010D"/>
    <w:rsid w:val="005A04C9"/>
    <w:rsid w:val="005A0FC8"/>
    <w:rsid w:val="005A18DE"/>
    <w:rsid w:val="005A1C96"/>
    <w:rsid w:val="005A1F20"/>
    <w:rsid w:val="005A2821"/>
    <w:rsid w:val="005A2F41"/>
    <w:rsid w:val="005A4ED8"/>
    <w:rsid w:val="005A5946"/>
    <w:rsid w:val="005A608A"/>
    <w:rsid w:val="005A6BF3"/>
    <w:rsid w:val="005A6F0A"/>
    <w:rsid w:val="005A6FEB"/>
    <w:rsid w:val="005A7771"/>
    <w:rsid w:val="005A7CF7"/>
    <w:rsid w:val="005B08CA"/>
    <w:rsid w:val="005B11DC"/>
    <w:rsid w:val="005B2091"/>
    <w:rsid w:val="005B2379"/>
    <w:rsid w:val="005B2753"/>
    <w:rsid w:val="005B28C9"/>
    <w:rsid w:val="005B2A3C"/>
    <w:rsid w:val="005B3255"/>
    <w:rsid w:val="005B3A3D"/>
    <w:rsid w:val="005B3DD0"/>
    <w:rsid w:val="005B3DE6"/>
    <w:rsid w:val="005B429A"/>
    <w:rsid w:val="005B4CB5"/>
    <w:rsid w:val="005B4ECC"/>
    <w:rsid w:val="005B570B"/>
    <w:rsid w:val="005B5E78"/>
    <w:rsid w:val="005B645E"/>
    <w:rsid w:val="005B7072"/>
    <w:rsid w:val="005B721C"/>
    <w:rsid w:val="005B7B3C"/>
    <w:rsid w:val="005C1577"/>
    <w:rsid w:val="005C1D92"/>
    <w:rsid w:val="005C1E2F"/>
    <w:rsid w:val="005C1E93"/>
    <w:rsid w:val="005C1F56"/>
    <w:rsid w:val="005C4A70"/>
    <w:rsid w:val="005C630F"/>
    <w:rsid w:val="005C642C"/>
    <w:rsid w:val="005C6CA3"/>
    <w:rsid w:val="005C7907"/>
    <w:rsid w:val="005C7DAC"/>
    <w:rsid w:val="005D0DA5"/>
    <w:rsid w:val="005D1010"/>
    <w:rsid w:val="005D1552"/>
    <w:rsid w:val="005D18CB"/>
    <w:rsid w:val="005D19BC"/>
    <w:rsid w:val="005D1DBC"/>
    <w:rsid w:val="005D1FBA"/>
    <w:rsid w:val="005D21F0"/>
    <w:rsid w:val="005D2F0E"/>
    <w:rsid w:val="005D3441"/>
    <w:rsid w:val="005D3B96"/>
    <w:rsid w:val="005D49BF"/>
    <w:rsid w:val="005D49C5"/>
    <w:rsid w:val="005D5B6A"/>
    <w:rsid w:val="005D63D3"/>
    <w:rsid w:val="005D71F4"/>
    <w:rsid w:val="005D72BF"/>
    <w:rsid w:val="005D772E"/>
    <w:rsid w:val="005D77CE"/>
    <w:rsid w:val="005D79B4"/>
    <w:rsid w:val="005D7B37"/>
    <w:rsid w:val="005E05D4"/>
    <w:rsid w:val="005E0E68"/>
    <w:rsid w:val="005E1D4A"/>
    <w:rsid w:val="005E2C03"/>
    <w:rsid w:val="005E2DC3"/>
    <w:rsid w:val="005E35E9"/>
    <w:rsid w:val="005E3681"/>
    <w:rsid w:val="005E3C11"/>
    <w:rsid w:val="005E469E"/>
    <w:rsid w:val="005E4D6F"/>
    <w:rsid w:val="005E5AB9"/>
    <w:rsid w:val="005E78E9"/>
    <w:rsid w:val="005E7D2B"/>
    <w:rsid w:val="005F0C42"/>
    <w:rsid w:val="005F0D2C"/>
    <w:rsid w:val="005F12F0"/>
    <w:rsid w:val="005F2AEC"/>
    <w:rsid w:val="005F322D"/>
    <w:rsid w:val="005F5BA2"/>
    <w:rsid w:val="005F5EF9"/>
    <w:rsid w:val="005F6134"/>
    <w:rsid w:val="005F6153"/>
    <w:rsid w:val="005F65D3"/>
    <w:rsid w:val="005F6A2E"/>
    <w:rsid w:val="005F6FF2"/>
    <w:rsid w:val="00601FB9"/>
    <w:rsid w:val="006020BE"/>
    <w:rsid w:val="006025AB"/>
    <w:rsid w:val="00602D2B"/>
    <w:rsid w:val="00603522"/>
    <w:rsid w:val="00603607"/>
    <w:rsid w:val="006038B0"/>
    <w:rsid w:val="006038B4"/>
    <w:rsid w:val="0060397A"/>
    <w:rsid w:val="00603B11"/>
    <w:rsid w:val="00604AAC"/>
    <w:rsid w:val="00604DD3"/>
    <w:rsid w:val="006054DF"/>
    <w:rsid w:val="00605875"/>
    <w:rsid w:val="0060591D"/>
    <w:rsid w:val="00606342"/>
    <w:rsid w:val="006106B6"/>
    <w:rsid w:val="006111C1"/>
    <w:rsid w:val="00611964"/>
    <w:rsid w:val="00613085"/>
    <w:rsid w:val="006130BA"/>
    <w:rsid w:val="0061371F"/>
    <w:rsid w:val="006141EA"/>
    <w:rsid w:val="0061593B"/>
    <w:rsid w:val="00615B42"/>
    <w:rsid w:val="00615EA0"/>
    <w:rsid w:val="00615F81"/>
    <w:rsid w:val="00617B59"/>
    <w:rsid w:val="00620291"/>
    <w:rsid w:val="0062066D"/>
    <w:rsid w:val="0062101E"/>
    <w:rsid w:val="006215C4"/>
    <w:rsid w:val="00621CD5"/>
    <w:rsid w:val="00622157"/>
    <w:rsid w:val="00622361"/>
    <w:rsid w:val="00622537"/>
    <w:rsid w:val="00623213"/>
    <w:rsid w:val="00623307"/>
    <w:rsid w:val="00623A37"/>
    <w:rsid w:val="00623CB0"/>
    <w:rsid w:val="00626923"/>
    <w:rsid w:val="00627985"/>
    <w:rsid w:val="006279A9"/>
    <w:rsid w:val="00627CF9"/>
    <w:rsid w:val="00630E6E"/>
    <w:rsid w:val="00630E9C"/>
    <w:rsid w:val="00631150"/>
    <w:rsid w:val="00631514"/>
    <w:rsid w:val="00631A68"/>
    <w:rsid w:val="00631E46"/>
    <w:rsid w:val="00632EA8"/>
    <w:rsid w:val="006341D1"/>
    <w:rsid w:val="0063434C"/>
    <w:rsid w:val="00634DC9"/>
    <w:rsid w:val="00635067"/>
    <w:rsid w:val="00635275"/>
    <w:rsid w:val="00635AC8"/>
    <w:rsid w:val="0063619B"/>
    <w:rsid w:val="00636225"/>
    <w:rsid w:val="00636D5A"/>
    <w:rsid w:val="00636F56"/>
    <w:rsid w:val="006378AE"/>
    <w:rsid w:val="00640806"/>
    <w:rsid w:val="00641A13"/>
    <w:rsid w:val="006426EB"/>
    <w:rsid w:val="00642F7C"/>
    <w:rsid w:val="0064324F"/>
    <w:rsid w:val="006433E6"/>
    <w:rsid w:val="0064344E"/>
    <w:rsid w:val="00643A57"/>
    <w:rsid w:val="00643F92"/>
    <w:rsid w:val="00645AC3"/>
    <w:rsid w:val="006461E6"/>
    <w:rsid w:val="00647AA9"/>
    <w:rsid w:val="006502C2"/>
    <w:rsid w:val="006505AE"/>
    <w:rsid w:val="0065067F"/>
    <w:rsid w:val="006508E2"/>
    <w:rsid w:val="00651B16"/>
    <w:rsid w:val="00651ED7"/>
    <w:rsid w:val="00652E34"/>
    <w:rsid w:val="006547B9"/>
    <w:rsid w:val="00654925"/>
    <w:rsid w:val="00654D3D"/>
    <w:rsid w:val="00655D3E"/>
    <w:rsid w:val="00656205"/>
    <w:rsid w:val="006563C6"/>
    <w:rsid w:val="006567B5"/>
    <w:rsid w:val="00657AB9"/>
    <w:rsid w:val="00661BB9"/>
    <w:rsid w:val="00662F5D"/>
    <w:rsid w:val="006633A6"/>
    <w:rsid w:val="00663635"/>
    <w:rsid w:val="00663B9B"/>
    <w:rsid w:val="00664225"/>
    <w:rsid w:val="00664C14"/>
    <w:rsid w:val="0066532D"/>
    <w:rsid w:val="00665996"/>
    <w:rsid w:val="00670289"/>
    <w:rsid w:val="006709A3"/>
    <w:rsid w:val="00670EE3"/>
    <w:rsid w:val="0067310C"/>
    <w:rsid w:val="006742CD"/>
    <w:rsid w:val="00674FAB"/>
    <w:rsid w:val="006758D0"/>
    <w:rsid w:val="00676768"/>
    <w:rsid w:val="00676AD6"/>
    <w:rsid w:val="00676F9B"/>
    <w:rsid w:val="006809F7"/>
    <w:rsid w:val="00680DF6"/>
    <w:rsid w:val="00681817"/>
    <w:rsid w:val="00682358"/>
    <w:rsid w:val="0068318D"/>
    <w:rsid w:val="006848A9"/>
    <w:rsid w:val="006848BF"/>
    <w:rsid w:val="00684A76"/>
    <w:rsid w:val="006856E3"/>
    <w:rsid w:val="00685C77"/>
    <w:rsid w:val="00686000"/>
    <w:rsid w:val="00686329"/>
    <w:rsid w:val="0068685E"/>
    <w:rsid w:val="00687BC2"/>
    <w:rsid w:val="0069054F"/>
    <w:rsid w:val="00690CC8"/>
    <w:rsid w:val="00691955"/>
    <w:rsid w:val="00692C8E"/>
    <w:rsid w:val="0069472B"/>
    <w:rsid w:val="006947BE"/>
    <w:rsid w:val="00695184"/>
    <w:rsid w:val="006952D4"/>
    <w:rsid w:val="00695625"/>
    <w:rsid w:val="00695B85"/>
    <w:rsid w:val="00695DA3"/>
    <w:rsid w:val="00697573"/>
    <w:rsid w:val="00697AD3"/>
    <w:rsid w:val="006A038E"/>
    <w:rsid w:val="006A146F"/>
    <w:rsid w:val="006A1BAB"/>
    <w:rsid w:val="006A2C9C"/>
    <w:rsid w:val="006A2F3E"/>
    <w:rsid w:val="006A3C28"/>
    <w:rsid w:val="006A3F3B"/>
    <w:rsid w:val="006A465B"/>
    <w:rsid w:val="006A48AA"/>
    <w:rsid w:val="006A4E26"/>
    <w:rsid w:val="006A62F6"/>
    <w:rsid w:val="006A7065"/>
    <w:rsid w:val="006A7D96"/>
    <w:rsid w:val="006B0E0B"/>
    <w:rsid w:val="006B1C19"/>
    <w:rsid w:val="006B1C9E"/>
    <w:rsid w:val="006B1CEB"/>
    <w:rsid w:val="006B1F23"/>
    <w:rsid w:val="006B2139"/>
    <w:rsid w:val="006B2C9B"/>
    <w:rsid w:val="006B2F6F"/>
    <w:rsid w:val="006B4A33"/>
    <w:rsid w:val="006B5040"/>
    <w:rsid w:val="006B54BD"/>
    <w:rsid w:val="006B5877"/>
    <w:rsid w:val="006B5953"/>
    <w:rsid w:val="006B5964"/>
    <w:rsid w:val="006B6415"/>
    <w:rsid w:val="006B65A0"/>
    <w:rsid w:val="006C04F3"/>
    <w:rsid w:val="006C06A0"/>
    <w:rsid w:val="006C2016"/>
    <w:rsid w:val="006C20A9"/>
    <w:rsid w:val="006C25A4"/>
    <w:rsid w:val="006C263D"/>
    <w:rsid w:val="006C2B3C"/>
    <w:rsid w:val="006C2CCD"/>
    <w:rsid w:val="006C2D59"/>
    <w:rsid w:val="006C39B5"/>
    <w:rsid w:val="006C49F1"/>
    <w:rsid w:val="006C65AE"/>
    <w:rsid w:val="006C679B"/>
    <w:rsid w:val="006C6E2C"/>
    <w:rsid w:val="006C759F"/>
    <w:rsid w:val="006C7BCB"/>
    <w:rsid w:val="006D0A16"/>
    <w:rsid w:val="006D0B03"/>
    <w:rsid w:val="006D1083"/>
    <w:rsid w:val="006D1D13"/>
    <w:rsid w:val="006D2B2F"/>
    <w:rsid w:val="006D2B6F"/>
    <w:rsid w:val="006D2C46"/>
    <w:rsid w:val="006D398F"/>
    <w:rsid w:val="006D3A75"/>
    <w:rsid w:val="006D3D15"/>
    <w:rsid w:val="006D41F0"/>
    <w:rsid w:val="006D4D5F"/>
    <w:rsid w:val="006D5068"/>
    <w:rsid w:val="006D6E20"/>
    <w:rsid w:val="006D7218"/>
    <w:rsid w:val="006D768B"/>
    <w:rsid w:val="006D7711"/>
    <w:rsid w:val="006D7D36"/>
    <w:rsid w:val="006E0126"/>
    <w:rsid w:val="006E117B"/>
    <w:rsid w:val="006E1235"/>
    <w:rsid w:val="006E191A"/>
    <w:rsid w:val="006E28BA"/>
    <w:rsid w:val="006E2C77"/>
    <w:rsid w:val="006E320C"/>
    <w:rsid w:val="006E3385"/>
    <w:rsid w:val="006E3CDF"/>
    <w:rsid w:val="006E449E"/>
    <w:rsid w:val="006E4E67"/>
    <w:rsid w:val="006F0093"/>
    <w:rsid w:val="006F10A9"/>
    <w:rsid w:val="006F1181"/>
    <w:rsid w:val="006F16B2"/>
    <w:rsid w:val="006F172B"/>
    <w:rsid w:val="006F1808"/>
    <w:rsid w:val="006F1F1A"/>
    <w:rsid w:val="006F23C7"/>
    <w:rsid w:val="006F2C9B"/>
    <w:rsid w:val="006F4075"/>
    <w:rsid w:val="006F5DC7"/>
    <w:rsid w:val="006F64DB"/>
    <w:rsid w:val="006F65F8"/>
    <w:rsid w:val="006F662D"/>
    <w:rsid w:val="006F79A7"/>
    <w:rsid w:val="006F7AB0"/>
    <w:rsid w:val="006F7F9E"/>
    <w:rsid w:val="00700870"/>
    <w:rsid w:val="00701263"/>
    <w:rsid w:val="0070162E"/>
    <w:rsid w:val="00702C94"/>
    <w:rsid w:val="007036D7"/>
    <w:rsid w:val="0070493A"/>
    <w:rsid w:val="007066D9"/>
    <w:rsid w:val="00706C66"/>
    <w:rsid w:val="00707899"/>
    <w:rsid w:val="00707B09"/>
    <w:rsid w:val="007108F7"/>
    <w:rsid w:val="00710BD6"/>
    <w:rsid w:val="00710DF4"/>
    <w:rsid w:val="00711490"/>
    <w:rsid w:val="00711610"/>
    <w:rsid w:val="00712131"/>
    <w:rsid w:val="0071314F"/>
    <w:rsid w:val="00713F53"/>
    <w:rsid w:val="007140E8"/>
    <w:rsid w:val="00714652"/>
    <w:rsid w:val="0071755E"/>
    <w:rsid w:val="007200B6"/>
    <w:rsid w:val="007204CD"/>
    <w:rsid w:val="00720822"/>
    <w:rsid w:val="00720DC2"/>
    <w:rsid w:val="007211C9"/>
    <w:rsid w:val="00721B51"/>
    <w:rsid w:val="00721C04"/>
    <w:rsid w:val="00721E30"/>
    <w:rsid w:val="007249B7"/>
    <w:rsid w:val="00724B81"/>
    <w:rsid w:val="0072515A"/>
    <w:rsid w:val="00726127"/>
    <w:rsid w:val="007267C3"/>
    <w:rsid w:val="00726DA4"/>
    <w:rsid w:val="00726E2D"/>
    <w:rsid w:val="007270CF"/>
    <w:rsid w:val="00727255"/>
    <w:rsid w:val="007278A0"/>
    <w:rsid w:val="00727EEB"/>
    <w:rsid w:val="007306EF"/>
    <w:rsid w:val="00731A1B"/>
    <w:rsid w:val="007320C7"/>
    <w:rsid w:val="00732347"/>
    <w:rsid w:val="0073242B"/>
    <w:rsid w:val="00732A46"/>
    <w:rsid w:val="00732F5E"/>
    <w:rsid w:val="00733BC3"/>
    <w:rsid w:val="00734720"/>
    <w:rsid w:val="00734AAF"/>
    <w:rsid w:val="00735471"/>
    <w:rsid w:val="0073564E"/>
    <w:rsid w:val="00735FA7"/>
    <w:rsid w:val="007403D0"/>
    <w:rsid w:val="0074095D"/>
    <w:rsid w:val="00741AA9"/>
    <w:rsid w:val="00741B75"/>
    <w:rsid w:val="007421AB"/>
    <w:rsid w:val="0074319A"/>
    <w:rsid w:val="00743699"/>
    <w:rsid w:val="00743BDB"/>
    <w:rsid w:val="00743FF6"/>
    <w:rsid w:val="00744195"/>
    <w:rsid w:val="007458BC"/>
    <w:rsid w:val="00745EDD"/>
    <w:rsid w:val="007476FD"/>
    <w:rsid w:val="00750149"/>
    <w:rsid w:val="007505FD"/>
    <w:rsid w:val="007506F0"/>
    <w:rsid w:val="00750F01"/>
    <w:rsid w:val="007519B2"/>
    <w:rsid w:val="00751D90"/>
    <w:rsid w:val="00751FD1"/>
    <w:rsid w:val="0075345D"/>
    <w:rsid w:val="0075371F"/>
    <w:rsid w:val="00754E28"/>
    <w:rsid w:val="007556DD"/>
    <w:rsid w:val="00756660"/>
    <w:rsid w:val="00757663"/>
    <w:rsid w:val="00757818"/>
    <w:rsid w:val="00757F57"/>
    <w:rsid w:val="00760961"/>
    <w:rsid w:val="00760CC8"/>
    <w:rsid w:val="00760EEC"/>
    <w:rsid w:val="0076110B"/>
    <w:rsid w:val="0076431C"/>
    <w:rsid w:val="007644AF"/>
    <w:rsid w:val="007645DB"/>
    <w:rsid w:val="007649E8"/>
    <w:rsid w:val="007654B6"/>
    <w:rsid w:val="00766E27"/>
    <w:rsid w:val="007673F3"/>
    <w:rsid w:val="007675C9"/>
    <w:rsid w:val="007675EB"/>
    <w:rsid w:val="00767860"/>
    <w:rsid w:val="0077010F"/>
    <w:rsid w:val="00770372"/>
    <w:rsid w:val="0077129A"/>
    <w:rsid w:val="00771DA7"/>
    <w:rsid w:val="007723F1"/>
    <w:rsid w:val="007725A1"/>
    <w:rsid w:val="0077268F"/>
    <w:rsid w:val="00772CAA"/>
    <w:rsid w:val="00772DFF"/>
    <w:rsid w:val="00772EDA"/>
    <w:rsid w:val="00772F18"/>
    <w:rsid w:val="0077392D"/>
    <w:rsid w:val="007741C7"/>
    <w:rsid w:val="00774486"/>
    <w:rsid w:val="00774C51"/>
    <w:rsid w:val="00776312"/>
    <w:rsid w:val="00777E7E"/>
    <w:rsid w:val="007803AF"/>
    <w:rsid w:val="0078196C"/>
    <w:rsid w:val="00782535"/>
    <w:rsid w:val="00782563"/>
    <w:rsid w:val="00782691"/>
    <w:rsid w:val="00783361"/>
    <w:rsid w:val="00783938"/>
    <w:rsid w:val="007856C3"/>
    <w:rsid w:val="007861DD"/>
    <w:rsid w:val="00786799"/>
    <w:rsid w:val="007869EF"/>
    <w:rsid w:val="00786DC7"/>
    <w:rsid w:val="007878D4"/>
    <w:rsid w:val="00787909"/>
    <w:rsid w:val="00787A54"/>
    <w:rsid w:val="00787D70"/>
    <w:rsid w:val="00791A22"/>
    <w:rsid w:val="00791C1D"/>
    <w:rsid w:val="00791F28"/>
    <w:rsid w:val="00791FD5"/>
    <w:rsid w:val="00792155"/>
    <w:rsid w:val="007937CB"/>
    <w:rsid w:val="0079384D"/>
    <w:rsid w:val="00793B42"/>
    <w:rsid w:val="00794D4A"/>
    <w:rsid w:val="00795207"/>
    <w:rsid w:val="00795574"/>
    <w:rsid w:val="00795644"/>
    <w:rsid w:val="00795787"/>
    <w:rsid w:val="007958F2"/>
    <w:rsid w:val="00796073"/>
    <w:rsid w:val="007963C9"/>
    <w:rsid w:val="00796857"/>
    <w:rsid w:val="00796BBB"/>
    <w:rsid w:val="00797EB1"/>
    <w:rsid w:val="00797EF9"/>
    <w:rsid w:val="00797FE2"/>
    <w:rsid w:val="007A0762"/>
    <w:rsid w:val="007A1F91"/>
    <w:rsid w:val="007A337D"/>
    <w:rsid w:val="007A3AB2"/>
    <w:rsid w:val="007A3AEF"/>
    <w:rsid w:val="007A4112"/>
    <w:rsid w:val="007A4620"/>
    <w:rsid w:val="007A4F5F"/>
    <w:rsid w:val="007A52B6"/>
    <w:rsid w:val="007A537C"/>
    <w:rsid w:val="007A5610"/>
    <w:rsid w:val="007A65E7"/>
    <w:rsid w:val="007A6B33"/>
    <w:rsid w:val="007A6DA3"/>
    <w:rsid w:val="007A7667"/>
    <w:rsid w:val="007A771E"/>
    <w:rsid w:val="007A7E53"/>
    <w:rsid w:val="007B0A04"/>
    <w:rsid w:val="007B0ABA"/>
    <w:rsid w:val="007B0B61"/>
    <w:rsid w:val="007B0D62"/>
    <w:rsid w:val="007B1543"/>
    <w:rsid w:val="007B18CE"/>
    <w:rsid w:val="007B1A64"/>
    <w:rsid w:val="007B1B67"/>
    <w:rsid w:val="007B1C10"/>
    <w:rsid w:val="007B2386"/>
    <w:rsid w:val="007B2442"/>
    <w:rsid w:val="007B2CAA"/>
    <w:rsid w:val="007B33BF"/>
    <w:rsid w:val="007B43C9"/>
    <w:rsid w:val="007B44BB"/>
    <w:rsid w:val="007B46D9"/>
    <w:rsid w:val="007B4AF0"/>
    <w:rsid w:val="007B7CA1"/>
    <w:rsid w:val="007C0413"/>
    <w:rsid w:val="007C1764"/>
    <w:rsid w:val="007C39BE"/>
    <w:rsid w:val="007C3E8C"/>
    <w:rsid w:val="007C4486"/>
    <w:rsid w:val="007C4B16"/>
    <w:rsid w:val="007C4F94"/>
    <w:rsid w:val="007C5B8C"/>
    <w:rsid w:val="007C6032"/>
    <w:rsid w:val="007C62FC"/>
    <w:rsid w:val="007D03F6"/>
    <w:rsid w:val="007D0F3B"/>
    <w:rsid w:val="007D1213"/>
    <w:rsid w:val="007D20F4"/>
    <w:rsid w:val="007D2388"/>
    <w:rsid w:val="007D247B"/>
    <w:rsid w:val="007D2CAC"/>
    <w:rsid w:val="007D36D0"/>
    <w:rsid w:val="007D5311"/>
    <w:rsid w:val="007D531C"/>
    <w:rsid w:val="007D5E74"/>
    <w:rsid w:val="007D6A13"/>
    <w:rsid w:val="007D6BCE"/>
    <w:rsid w:val="007D7D07"/>
    <w:rsid w:val="007D7EC7"/>
    <w:rsid w:val="007D7ED8"/>
    <w:rsid w:val="007E0441"/>
    <w:rsid w:val="007E1409"/>
    <w:rsid w:val="007E1A3B"/>
    <w:rsid w:val="007E1D05"/>
    <w:rsid w:val="007E2951"/>
    <w:rsid w:val="007E316F"/>
    <w:rsid w:val="007E31F7"/>
    <w:rsid w:val="007E42C0"/>
    <w:rsid w:val="007E46ED"/>
    <w:rsid w:val="007E4EAF"/>
    <w:rsid w:val="007E51A2"/>
    <w:rsid w:val="007E51F7"/>
    <w:rsid w:val="007E6541"/>
    <w:rsid w:val="007F2510"/>
    <w:rsid w:val="007F42E6"/>
    <w:rsid w:val="007F4A09"/>
    <w:rsid w:val="007F4F8D"/>
    <w:rsid w:val="007F5F9A"/>
    <w:rsid w:val="007F654F"/>
    <w:rsid w:val="007F6A73"/>
    <w:rsid w:val="007F6E44"/>
    <w:rsid w:val="007F7B2C"/>
    <w:rsid w:val="00800068"/>
    <w:rsid w:val="008008F5"/>
    <w:rsid w:val="00800E41"/>
    <w:rsid w:val="00800E6C"/>
    <w:rsid w:val="0080116D"/>
    <w:rsid w:val="00801B2B"/>
    <w:rsid w:val="00802D4C"/>
    <w:rsid w:val="00803305"/>
    <w:rsid w:val="008038B2"/>
    <w:rsid w:val="0080397C"/>
    <w:rsid w:val="0080397E"/>
    <w:rsid w:val="00803F8A"/>
    <w:rsid w:val="00805BD1"/>
    <w:rsid w:val="00806C2B"/>
    <w:rsid w:val="00807766"/>
    <w:rsid w:val="008078A4"/>
    <w:rsid w:val="008101E2"/>
    <w:rsid w:val="0081033F"/>
    <w:rsid w:val="00810B7F"/>
    <w:rsid w:val="0081191B"/>
    <w:rsid w:val="0081263A"/>
    <w:rsid w:val="0081324B"/>
    <w:rsid w:val="00813473"/>
    <w:rsid w:val="00813A6C"/>
    <w:rsid w:val="00815ABC"/>
    <w:rsid w:val="00816013"/>
    <w:rsid w:val="00816241"/>
    <w:rsid w:val="00816669"/>
    <w:rsid w:val="00816C3E"/>
    <w:rsid w:val="00817618"/>
    <w:rsid w:val="00817E0D"/>
    <w:rsid w:val="00817E2D"/>
    <w:rsid w:val="00820727"/>
    <w:rsid w:val="0082074A"/>
    <w:rsid w:val="008209C3"/>
    <w:rsid w:val="00822B4C"/>
    <w:rsid w:val="00822C45"/>
    <w:rsid w:val="008230E3"/>
    <w:rsid w:val="00823DEE"/>
    <w:rsid w:val="00823E10"/>
    <w:rsid w:val="00824968"/>
    <w:rsid w:val="00825C37"/>
    <w:rsid w:val="00825F06"/>
    <w:rsid w:val="00827414"/>
    <w:rsid w:val="008303F0"/>
    <w:rsid w:val="00830F6C"/>
    <w:rsid w:val="00831DA5"/>
    <w:rsid w:val="00831F64"/>
    <w:rsid w:val="00831F97"/>
    <w:rsid w:val="0083236D"/>
    <w:rsid w:val="008324A1"/>
    <w:rsid w:val="008324B3"/>
    <w:rsid w:val="00832973"/>
    <w:rsid w:val="00832BBF"/>
    <w:rsid w:val="00832DDA"/>
    <w:rsid w:val="008330D4"/>
    <w:rsid w:val="008335D8"/>
    <w:rsid w:val="00833774"/>
    <w:rsid w:val="00834499"/>
    <w:rsid w:val="00834C10"/>
    <w:rsid w:val="00840500"/>
    <w:rsid w:val="00840BD3"/>
    <w:rsid w:val="00840D70"/>
    <w:rsid w:val="0084140C"/>
    <w:rsid w:val="00841F15"/>
    <w:rsid w:val="00842D2C"/>
    <w:rsid w:val="00843CC1"/>
    <w:rsid w:val="00843EE7"/>
    <w:rsid w:val="0084428F"/>
    <w:rsid w:val="00844642"/>
    <w:rsid w:val="008448B8"/>
    <w:rsid w:val="00844957"/>
    <w:rsid w:val="0084540A"/>
    <w:rsid w:val="0084548B"/>
    <w:rsid w:val="00845DCE"/>
    <w:rsid w:val="00845E96"/>
    <w:rsid w:val="008465DC"/>
    <w:rsid w:val="0084763A"/>
    <w:rsid w:val="008478A5"/>
    <w:rsid w:val="008504BC"/>
    <w:rsid w:val="00850B6F"/>
    <w:rsid w:val="00850E52"/>
    <w:rsid w:val="00851355"/>
    <w:rsid w:val="00851CE2"/>
    <w:rsid w:val="00852253"/>
    <w:rsid w:val="008523D6"/>
    <w:rsid w:val="0085286C"/>
    <w:rsid w:val="00853631"/>
    <w:rsid w:val="00853928"/>
    <w:rsid w:val="008540A6"/>
    <w:rsid w:val="00854970"/>
    <w:rsid w:val="00855EBD"/>
    <w:rsid w:val="0085688E"/>
    <w:rsid w:val="0085713C"/>
    <w:rsid w:val="00860F5E"/>
    <w:rsid w:val="00861321"/>
    <w:rsid w:val="00861873"/>
    <w:rsid w:val="00861933"/>
    <w:rsid w:val="00861E33"/>
    <w:rsid w:val="008622B2"/>
    <w:rsid w:val="00862881"/>
    <w:rsid w:val="008637B8"/>
    <w:rsid w:val="00863A6A"/>
    <w:rsid w:val="00864454"/>
    <w:rsid w:val="00864BDD"/>
    <w:rsid w:val="00864C4D"/>
    <w:rsid w:val="00865474"/>
    <w:rsid w:val="0086689E"/>
    <w:rsid w:val="00867C66"/>
    <w:rsid w:val="008707C4"/>
    <w:rsid w:val="0087188D"/>
    <w:rsid w:val="00871AC7"/>
    <w:rsid w:val="008724C8"/>
    <w:rsid w:val="008734EA"/>
    <w:rsid w:val="00873B98"/>
    <w:rsid w:val="00873E65"/>
    <w:rsid w:val="00874C0C"/>
    <w:rsid w:val="00876999"/>
    <w:rsid w:val="00876BA6"/>
    <w:rsid w:val="00877167"/>
    <w:rsid w:val="00877550"/>
    <w:rsid w:val="00880446"/>
    <w:rsid w:val="008805CE"/>
    <w:rsid w:val="00881BC7"/>
    <w:rsid w:val="00883BAA"/>
    <w:rsid w:val="00883E57"/>
    <w:rsid w:val="0088446C"/>
    <w:rsid w:val="008844A0"/>
    <w:rsid w:val="0088498F"/>
    <w:rsid w:val="0088626C"/>
    <w:rsid w:val="00886421"/>
    <w:rsid w:val="00886A89"/>
    <w:rsid w:val="00886B21"/>
    <w:rsid w:val="008876B4"/>
    <w:rsid w:val="008900DC"/>
    <w:rsid w:val="008902E6"/>
    <w:rsid w:val="0089243B"/>
    <w:rsid w:val="00892B17"/>
    <w:rsid w:val="00892D0C"/>
    <w:rsid w:val="00892E1D"/>
    <w:rsid w:val="0089303D"/>
    <w:rsid w:val="008931A8"/>
    <w:rsid w:val="008939DF"/>
    <w:rsid w:val="0089422F"/>
    <w:rsid w:val="0089431B"/>
    <w:rsid w:val="00895815"/>
    <w:rsid w:val="00895F47"/>
    <w:rsid w:val="0089626A"/>
    <w:rsid w:val="00896F9A"/>
    <w:rsid w:val="00897224"/>
    <w:rsid w:val="008A07F9"/>
    <w:rsid w:val="008A0E81"/>
    <w:rsid w:val="008A0F38"/>
    <w:rsid w:val="008A0FA8"/>
    <w:rsid w:val="008A1241"/>
    <w:rsid w:val="008A1ED9"/>
    <w:rsid w:val="008A2B90"/>
    <w:rsid w:val="008A349F"/>
    <w:rsid w:val="008A3760"/>
    <w:rsid w:val="008A3965"/>
    <w:rsid w:val="008A461A"/>
    <w:rsid w:val="008A4991"/>
    <w:rsid w:val="008A58B3"/>
    <w:rsid w:val="008A668D"/>
    <w:rsid w:val="008A6764"/>
    <w:rsid w:val="008A6904"/>
    <w:rsid w:val="008A74E7"/>
    <w:rsid w:val="008B07FC"/>
    <w:rsid w:val="008B0D2B"/>
    <w:rsid w:val="008B2891"/>
    <w:rsid w:val="008B2EF2"/>
    <w:rsid w:val="008B31D1"/>
    <w:rsid w:val="008B397A"/>
    <w:rsid w:val="008B4417"/>
    <w:rsid w:val="008B511C"/>
    <w:rsid w:val="008B694D"/>
    <w:rsid w:val="008C0308"/>
    <w:rsid w:val="008C08CB"/>
    <w:rsid w:val="008C0CB5"/>
    <w:rsid w:val="008C1223"/>
    <w:rsid w:val="008C15E0"/>
    <w:rsid w:val="008C17AF"/>
    <w:rsid w:val="008C2077"/>
    <w:rsid w:val="008C2E83"/>
    <w:rsid w:val="008C300E"/>
    <w:rsid w:val="008C3235"/>
    <w:rsid w:val="008C3651"/>
    <w:rsid w:val="008C384C"/>
    <w:rsid w:val="008C3DFB"/>
    <w:rsid w:val="008C43A5"/>
    <w:rsid w:val="008C447F"/>
    <w:rsid w:val="008C4577"/>
    <w:rsid w:val="008C5403"/>
    <w:rsid w:val="008C5874"/>
    <w:rsid w:val="008C5E4B"/>
    <w:rsid w:val="008C65F0"/>
    <w:rsid w:val="008D00D9"/>
    <w:rsid w:val="008D0B9A"/>
    <w:rsid w:val="008D151D"/>
    <w:rsid w:val="008D32B7"/>
    <w:rsid w:val="008D3A89"/>
    <w:rsid w:val="008D57DA"/>
    <w:rsid w:val="008D5895"/>
    <w:rsid w:val="008D687B"/>
    <w:rsid w:val="008D6A36"/>
    <w:rsid w:val="008D6CA2"/>
    <w:rsid w:val="008D7A1D"/>
    <w:rsid w:val="008D7C09"/>
    <w:rsid w:val="008E0509"/>
    <w:rsid w:val="008E08E8"/>
    <w:rsid w:val="008E0D7D"/>
    <w:rsid w:val="008E0FB0"/>
    <w:rsid w:val="008E125E"/>
    <w:rsid w:val="008E1EDB"/>
    <w:rsid w:val="008E3198"/>
    <w:rsid w:val="008E38C7"/>
    <w:rsid w:val="008E3EF6"/>
    <w:rsid w:val="008E4944"/>
    <w:rsid w:val="008E4999"/>
    <w:rsid w:val="008E4C1F"/>
    <w:rsid w:val="008E4C4F"/>
    <w:rsid w:val="008E51CA"/>
    <w:rsid w:val="008E5318"/>
    <w:rsid w:val="008E5FCD"/>
    <w:rsid w:val="008E712A"/>
    <w:rsid w:val="008E7769"/>
    <w:rsid w:val="008F16CA"/>
    <w:rsid w:val="008F2010"/>
    <w:rsid w:val="008F28D2"/>
    <w:rsid w:val="008F29CC"/>
    <w:rsid w:val="008F342D"/>
    <w:rsid w:val="008F3798"/>
    <w:rsid w:val="008F4B00"/>
    <w:rsid w:val="008F722D"/>
    <w:rsid w:val="008F7619"/>
    <w:rsid w:val="008F7A1F"/>
    <w:rsid w:val="008F7C9C"/>
    <w:rsid w:val="008F7E63"/>
    <w:rsid w:val="009004E5"/>
    <w:rsid w:val="009008EB"/>
    <w:rsid w:val="00900A66"/>
    <w:rsid w:val="00901053"/>
    <w:rsid w:val="00901F59"/>
    <w:rsid w:val="00902294"/>
    <w:rsid w:val="00902C2B"/>
    <w:rsid w:val="00902C75"/>
    <w:rsid w:val="00903232"/>
    <w:rsid w:val="00904151"/>
    <w:rsid w:val="009055E7"/>
    <w:rsid w:val="009055F1"/>
    <w:rsid w:val="00905E5F"/>
    <w:rsid w:val="00906BEE"/>
    <w:rsid w:val="00907BBB"/>
    <w:rsid w:val="00907D00"/>
    <w:rsid w:val="00907E38"/>
    <w:rsid w:val="00907F5E"/>
    <w:rsid w:val="009102E9"/>
    <w:rsid w:val="00910980"/>
    <w:rsid w:val="00910D1D"/>
    <w:rsid w:val="00911E5E"/>
    <w:rsid w:val="00912AF2"/>
    <w:rsid w:val="00913066"/>
    <w:rsid w:val="00914250"/>
    <w:rsid w:val="00914D7A"/>
    <w:rsid w:val="00915B12"/>
    <w:rsid w:val="00916282"/>
    <w:rsid w:val="009162C6"/>
    <w:rsid w:val="009163FB"/>
    <w:rsid w:val="00916731"/>
    <w:rsid w:val="00917BA5"/>
    <w:rsid w:val="00920A46"/>
    <w:rsid w:val="00921543"/>
    <w:rsid w:val="00922444"/>
    <w:rsid w:val="0092281F"/>
    <w:rsid w:val="0092302B"/>
    <w:rsid w:val="0092322D"/>
    <w:rsid w:val="009235A2"/>
    <w:rsid w:val="00923C7D"/>
    <w:rsid w:val="00923CDF"/>
    <w:rsid w:val="009244B4"/>
    <w:rsid w:val="00924722"/>
    <w:rsid w:val="009250CB"/>
    <w:rsid w:val="00925334"/>
    <w:rsid w:val="009257D3"/>
    <w:rsid w:val="00926B6F"/>
    <w:rsid w:val="00927B2A"/>
    <w:rsid w:val="00927CC7"/>
    <w:rsid w:val="0093137C"/>
    <w:rsid w:val="00932EE6"/>
    <w:rsid w:val="00933EC6"/>
    <w:rsid w:val="00934559"/>
    <w:rsid w:val="0093480D"/>
    <w:rsid w:val="00934818"/>
    <w:rsid w:val="00935E0E"/>
    <w:rsid w:val="009363D4"/>
    <w:rsid w:val="009369C2"/>
    <w:rsid w:val="009370A3"/>
    <w:rsid w:val="00937F6E"/>
    <w:rsid w:val="009404C4"/>
    <w:rsid w:val="00940BA9"/>
    <w:rsid w:val="0094346B"/>
    <w:rsid w:val="00944BF0"/>
    <w:rsid w:val="00946479"/>
    <w:rsid w:val="00946D11"/>
    <w:rsid w:val="00947952"/>
    <w:rsid w:val="00950B96"/>
    <w:rsid w:val="009519B4"/>
    <w:rsid w:val="009522AA"/>
    <w:rsid w:val="00952561"/>
    <w:rsid w:val="009532A8"/>
    <w:rsid w:val="009540D3"/>
    <w:rsid w:val="00954457"/>
    <w:rsid w:val="00955028"/>
    <w:rsid w:val="00955D13"/>
    <w:rsid w:val="00955ED0"/>
    <w:rsid w:val="00957749"/>
    <w:rsid w:val="00957A52"/>
    <w:rsid w:val="00957AED"/>
    <w:rsid w:val="00957BD9"/>
    <w:rsid w:val="00960C70"/>
    <w:rsid w:val="00961213"/>
    <w:rsid w:val="009619E3"/>
    <w:rsid w:val="00961A32"/>
    <w:rsid w:val="00962128"/>
    <w:rsid w:val="00962C5D"/>
    <w:rsid w:val="00963341"/>
    <w:rsid w:val="00965D31"/>
    <w:rsid w:val="00965F5C"/>
    <w:rsid w:val="00965FF4"/>
    <w:rsid w:val="00966ADE"/>
    <w:rsid w:val="00966B2C"/>
    <w:rsid w:val="009672CB"/>
    <w:rsid w:val="009673CA"/>
    <w:rsid w:val="00967BCB"/>
    <w:rsid w:val="009703E3"/>
    <w:rsid w:val="009706DD"/>
    <w:rsid w:val="009708CE"/>
    <w:rsid w:val="00970986"/>
    <w:rsid w:val="00970D42"/>
    <w:rsid w:val="00971801"/>
    <w:rsid w:val="00971D54"/>
    <w:rsid w:val="0097240D"/>
    <w:rsid w:val="00972CC3"/>
    <w:rsid w:val="00973461"/>
    <w:rsid w:val="009743DC"/>
    <w:rsid w:val="00974AF7"/>
    <w:rsid w:val="00975030"/>
    <w:rsid w:val="009757E5"/>
    <w:rsid w:val="00976036"/>
    <w:rsid w:val="009774FF"/>
    <w:rsid w:val="009800B3"/>
    <w:rsid w:val="0098251F"/>
    <w:rsid w:val="0098255E"/>
    <w:rsid w:val="009828A1"/>
    <w:rsid w:val="00982CD6"/>
    <w:rsid w:val="00984509"/>
    <w:rsid w:val="009851B1"/>
    <w:rsid w:val="00985ABA"/>
    <w:rsid w:val="009878BC"/>
    <w:rsid w:val="00990069"/>
    <w:rsid w:val="009903CC"/>
    <w:rsid w:val="0099113A"/>
    <w:rsid w:val="009914E1"/>
    <w:rsid w:val="0099242C"/>
    <w:rsid w:val="009924BA"/>
    <w:rsid w:val="00992E9E"/>
    <w:rsid w:val="00993D3E"/>
    <w:rsid w:val="009942F2"/>
    <w:rsid w:val="0099474C"/>
    <w:rsid w:val="00994B5D"/>
    <w:rsid w:val="00994EB8"/>
    <w:rsid w:val="00995521"/>
    <w:rsid w:val="009962C9"/>
    <w:rsid w:val="00996535"/>
    <w:rsid w:val="00996A95"/>
    <w:rsid w:val="00996BB2"/>
    <w:rsid w:val="00996FA9"/>
    <w:rsid w:val="00997802"/>
    <w:rsid w:val="009A00A5"/>
    <w:rsid w:val="009A044E"/>
    <w:rsid w:val="009A066F"/>
    <w:rsid w:val="009A08BE"/>
    <w:rsid w:val="009A0961"/>
    <w:rsid w:val="009A0A04"/>
    <w:rsid w:val="009A15D0"/>
    <w:rsid w:val="009A174A"/>
    <w:rsid w:val="009A18BF"/>
    <w:rsid w:val="009A1E63"/>
    <w:rsid w:val="009A1EB1"/>
    <w:rsid w:val="009A3552"/>
    <w:rsid w:val="009A3944"/>
    <w:rsid w:val="009A414A"/>
    <w:rsid w:val="009A4BC7"/>
    <w:rsid w:val="009A4CF4"/>
    <w:rsid w:val="009A5CE7"/>
    <w:rsid w:val="009A7558"/>
    <w:rsid w:val="009B0C1E"/>
    <w:rsid w:val="009B11EB"/>
    <w:rsid w:val="009B199D"/>
    <w:rsid w:val="009B1F84"/>
    <w:rsid w:val="009B245C"/>
    <w:rsid w:val="009B3476"/>
    <w:rsid w:val="009B35E4"/>
    <w:rsid w:val="009B3642"/>
    <w:rsid w:val="009B3AEB"/>
    <w:rsid w:val="009B3C77"/>
    <w:rsid w:val="009B4ACF"/>
    <w:rsid w:val="009B4F45"/>
    <w:rsid w:val="009B526F"/>
    <w:rsid w:val="009B5BD4"/>
    <w:rsid w:val="009B601A"/>
    <w:rsid w:val="009B65CF"/>
    <w:rsid w:val="009C09DA"/>
    <w:rsid w:val="009C0B1D"/>
    <w:rsid w:val="009C1544"/>
    <w:rsid w:val="009C1E2F"/>
    <w:rsid w:val="009C1F48"/>
    <w:rsid w:val="009C1F5C"/>
    <w:rsid w:val="009C25F0"/>
    <w:rsid w:val="009C2FD9"/>
    <w:rsid w:val="009C383B"/>
    <w:rsid w:val="009C4BC7"/>
    <w:rsid w:val="009C57FD"/>
    <w:rsid w:val="009C64E0"/>
    <w:rsid w:val="009C67B3"/>
    <w:rsid w:val="009C6B1A"/>
    <w:rsid w:val="009C7E6F"/>
    <w:rsid w:val="009D0E3B"/>
    <w:rsid w:val="009D1055"/>
    <w:rsid w:val="009D1448"/>
    <w:rsid w:val="009D177F"/>
    <w:rsid w:val="009D1C0F"/>
    <w:rsid w:val="009D1C23"/>
    <w:rsid w:val="009D21AD"/>
    <w:rsid w:val="009D2DAE"/>
    <w:rsid w:val="009D3789"/>
    <w:rsid w:val="009D4363"/>
    <w:rsid w:val="009D4984"/>
    <w:rsid w:val="009D4A1F"/>
    <w:rsid w:val="009D51C2"/>
    <w:rsid w:val="009D61FD"/>
    <w:rsid w:val="009D64F7"/>
    <w:rsid w:val="009D727A"/>
    <w:rsid w:val="009D79BB"/>
    <w:rsid w:val="009D7E07"/>
    <w:rsid w:val="009D7F27"/>
    <w:rsid w:val="009E091F"/>
    <w:rsid w:val="009E0E0D"/>
    <w:rsid w:val="009E1147"/>
    <w:rsid w:val="009E156F"/>
    <w:rsid w:val="009E1FD1"/>
    <w:rsid w:val="009E22A9"/>
    <w:rsid w:val="009E3042"/>
    <w:rsid w:val="009E376B"/>
    <w:rsid w:val="009E3C6F"/>
    <w:rsid w:val="009E4327"/>
    <w:rsid w:val="009E5327"/>
    <w:rsid w:val="009E5C02"/>
    <w:rsid w:val="009E67B7"/>
    <w:rsid w:val="009E67BA"/>
    <w:rsid w:val="009F04C5"/>
    <w:rsid w:val="009F0532"/>
    <w:rsid w:val="009F0614"/>
    <w:rsid w:val="009F0F2B"/>
    <w:rsid w:val="009F20AB"/>
    <w:rsid w:val="009F2D9B"/>
    <w:rsid w:val="009F3041"/>
    <w:rsid w:val="009F3605"/>
    <w:rsid w:val="009F37A6"/>
    <w:rsid w:val="009F3BD4"/>
    <w:rsid w:val="009F3FB9"/>
    <w:rsid w:val="009F45E3"/>
    <w:rsid w:val="009F5A7C"/>
    <w:rsid w:val="009F5F88"/>
    <w:rsid w:val="009F6BF9"/>
    <w:rsid w:val="009F70FA"/>
    <w:rsid w:val="009F7FC5"/>
    <w:rsid w:val="00A00621"/>
    <w:rsid w:val="00A00764"/>
    <w:rsid w:val="00A00E4C"/>
    <w:rsid w:val="00A01288"/>
    <w:rsid w:val="00A033FA"/>
    <w:rsid w:val="00A040ED"/>
    <w:rsid w:val="00A05F00"/>
    <w:rsid w:val="00A06052"/>
    <w:rsid w:val="00A06496"/>
    <w:rsid w:val="00A0681B"/>
    <w:rsid w:val="00A074AC"/>
    <w:rsid w:val="00A076CC"/>
    <w:rsid w:val="00A07EA7"/>
    <w:rsid w:val="00A10622"/>
    <w:rsid w:val="00A10A0C"/>
    <w:rsid w:val="00A11224"/>
    <w:rsid w:val="00A11766"/>
    <w:rsid w:val="00A1298A"/>
    <w:rsid w:val="00A13699"/>
    <w:rsid w:val="00A138AA"/>
    <w:rsid w:val="00A14146"/>
    <w:rsid w:val="00A1629D"/>
    <w:rsid w:val="00A16822"/>
    <w:rsid w:val="00A16AE5"/>
    <w:rsid w:val="00A16BF8"/>
    <w:rsid w:val="00A1741C"/>
    <w:rsid w:val="00A17B3F"/>
    <w:rsid w:val="00A20913"/>
    <w:rsid w:val="00A21696"/>
    <w:rsid w:val="00A21EB8"/>
    <w:rsid w:val="00A23762"/>
    <w:rsid w:val="00A23F81"/>
    <w:rsid w:val="00A276C5"/>
    <w:rsid w:val="00A31894"/>
    <w:rsid w:val="00A31C7F"/>
    <w:rsid w:val="00A323F9"/>
    <w:rsid w:val="00A3250E"/>
    <w:rsid w:val="00A327F2"/>
    <w:rsid w:val="00A32932"/>
    <w:rsid w:val="00A33B12"/>
    <w:rsid w:val="00A33FDA"/>
    <w:rsid w:val="00A3490F"/>
    <w:rsid w:val="00A3538D"/>
    <w:rsid w:val="00A35795"/>
    <w:rsid w:val="00A37406"/>
    <w:rsid w:val="00A37601"/>
    <w:rsid w:val="00A37F2F"/>
    <w:rsid w:val="00A404F8"/>
    <w:rsid w:val="00A40ACA"/>
    <w:rsid w:val="00A416F2"/>
    <w:rsid w:val="00A417B2"/>
    <w:rsid w:val="00A41DD9"/>
    <w:rsid w:val="00A4260E"/>
    <w:rsid w:val="00A42610"/>
    <w:rsid w:val="00A429D5"/>
    <w:rsid w:val="00A42BE2"/>
    <w:rsid w:val="00A43318"/>
    <w:rsid w:val="00A43E75"/>
    <w:rsid w:val="00A4553A"/>
    <w:rsid w:val="00A45894"/>
    <w:rsid w:val="00A45CA1"/>
    <w:rsid w:val="00A45FDD"/>
    <w:rsid w:val="00A467FB"/>
    <w:rsid w:val="00A46838"/>
    <w:rsid w:val="00A468C6"/>
    <w:rsid w:val="00A469E0"/>
    <w:rsid w:val="00A47ACA"/>
    <w:rsid w:val="00A47EB5"/>
    <w:rsid w:val="00A51783"/>
    <w:rsid w:val="00A522C3"/>
    <w:rsid w:val="00A5400E"/>
    <w:rsid w:val="00A5514F"/>
    <w:rsid w:val="00A55353"/>
    <w:rsid w:val="00A563BC"/>
    <w:rsid w:val="00A56410"/>
    <w:rsid w:val="00A56F31"/>
    <w:rsid w:val="00A571AF"/>
    <w:rsid w:val="00A57E94"/>
    <w:rsid w:val="00A60253"/>
    <w:rsid w:val="00A6067E"/>
    <w:rsid w:val="00A60894"/>
    <w:rsid w:val="00A60E2F"/>
    <w:rsid w:val="00A60F42"/>
    <w:rsid w:val="00A61600"/>
    <w:rsid w:val="00A61E28"/>
    <w:rsid w:val="00A620AC"/>
    <w:rsid w:val="00A62307"/>
    <w:rsid w:val="00A6237D"/>
    <w:rsid w:val="00A63AC7"/>
    <w:rsid w:val="00A6476C"/>
    <w:rsid w:val="00A6477D"/>
    <w:rsid w:val="00A64DCD"/>
    <w:rsid w:val="00A6506A"/>
    <w:rsid w:val="00A654F5"/>
    <w:rsid w:val="00A6551F"/>
    <w:rsid w:val="00A65650"/>
    <w:rsid w:val="00A65A21"/>
    <w:rsid w:val="00A662C8"/>
    <w:rsid w:val="00A676CD"/>
    <w:rsid w:val="00A67B18"/>
    <w:rsid w:val="00A67BDD"/>
    <w:rsid w:val="00A706AA"/>
    <w:rsid w:val="00A70724"/>
    <w:rsid w:val="00A70D6B"/>
    <w:rsid w:val="00A7189F"/>
    <w:rsid w:val="00A71F56"/>
    <w:rsid w:val="00A727CB"/>
    <w:rsid w:val="00A72BFE"/>
    <w:rsid w:val="00A731E4"/>
    <w:rsid w:val="00A73ABD"/>
    <w:rsid w:val="00A73D97"/>
    <w:rsid w:val="00A73EEF"/>
    <w:rsid w:val="00A75C12"/>
    <w:rsid w:val="00A774CB"/>
    <w:rsid w:val="00A776B2"/>
    <w:rsid w:val="00A81644"/>
    <w:rsid w:val="00A82022"/>
    <w:rsid w:val="00A82AC6"/>
    <w:rsid w:val="00A82B88"/>
    <w:rsid w:val="00A8394A"/>
    <w:rsid w:val="00A83A40"/>
    <w:rsid w:val="00A83CD4"/>
    <w:rsid w:val="00A84171"/>
    <w:rsid w:val="00A843F3"/>
    <w:rsid w:val="00A8444A"/>
    <w:rsid w:val="00A8491D"/>
    <w:rsid w:val="00A84AB9"/>
    <w:rsid w:val="00A84F65"/>
    <w:rsid w:val="00A85200"/>
    <w:rsid w:val="00A853AE"/>
    <w:rsid w:val="00A86D12"/>
    <w:rsid w:val="00A9109A"/>
    <w:rsid w:val="00A91CAD"/>
    <w:rsid w:val="00A920D3"/>
    <w:rsid w:val="00A930FC"/>
    <w:rsid w:val="00A944AE"/>
    <w:rsid w:val="00A95465"/>
    <w:rsid w:val="00A95C33"/>
    <w:rsid w:val="00A96CAF"/>
    <w:rsid w:val="00A96CC0"/>
    <w:rsid w:val="00A97046"/>
    <w:rsid w:val="00A97A62"/>
    <w:rsid w:val="00AA007C"/>
    <w:rsid w:val="00AA0BCC"/>
    <w:rsid w:val="00AA190C"/>
    <w:rsid w:val="00AA2278"/>
    <w:rsid w:val="00AA2B7B"/>
    <w:rsid w:val="00AA3419"/>
    <w:rsid w:val="00AA3D68"/>
    <w:rsid w:val="00AA4144"/>
    <w:rsid w:val="00AA52DF"/>
    <w:rsid w:val="00AA5BCA"/>
    <w:rsid w:val="00AA5CD1"/>
    <w:rsid w:val="00AA5D70"/>
    <w:rsid w:val="00AA6443"/>
    <w:rsid w:val="00AA6DB6"/>
    <w:rsid w:val="00AA6E3A"/>
    <w:rsid w:val="00AB0570"/>
    <w:rsid w:val="00AB0F64"/>
    <w:rsid w:val="00AB1975"/>
    <w:rsid w:val="00AB1E72"/>
    <w:rsid w:val="00AB238B"/>
    <w:rsid w:val="00AB25AB"/>
    <w:rsid w:val="00AB2E7C"/>
    <w:rsid w:val="00AB3253"/>
    <w:rsid w:val="00AB47B5"/>
    <w:rsid w:val="00AB4C02"/>
    <w:rsid w:val="00AB5400"/>
    <w:rsid w:val="00AB59FC"/>
    <w:rsid w:val="00AB691C"/>
    <w:rsid w:val="00AB7609"/>
    <w:rsid w:val="00AB7668"/>
    <w:rsid w:val="00AB77AD"/>
    <w:rsid w:val="00AC0073"/>
    <w:rsid w:val="00AC0173"/>
    <w:rsid w:val="00AC0C48"/>
    <w:rsid w:val="00AC11C6"/>
    <w:rsid w:val="00AC1287"/>
    <w:rsid w:val="00AC1FC4"/>
    <w:rsid w:val="00AC2C81"/>
    <w:rsid w:val="00AC2C93"/>
    <w:rsid w:val="00AC30F2"/>
    <w:rsid w:val="00AC3D37"/>
    <w:rsid w:val="00AC3F96"/>
    <w:rsid w:val="00AC3FD1"/>
    <w:rsid w:val="00AC488B"/>
    <w:rsid w:val="00AC53BF"/>
    <w:rsid w:val="00AC54B9"/>
    <w:rsid w:val="00AC5ADF"/>
    <w:rsid w:val="00AC5AED"/>
    <w:rsid w:val="00AC5B2F"/>
    <w:rsid w:val="00AC68D5"/>
    <w:rsid w:val="00AD04C1"/>
    <w:rsid w:val="00AD1551"/>
    <w:rsid w:val="00AD1C1E"/>
    <w:rsid w:val="00AD27C6"/>
    <w:rsid w:val="00AD36D0"/>
    <w:rsid w:val="00AD6801"/>
    <w:rsid w:val="00AD7AD6"/>
    <w:rsid w:val="00AE0114"/>
    <w:rsid w:val="00AE0762"/>
    <w:rsid w:val="00AE0C49"/>
    <w:rsid w:val="00AE1B68"/>
    <w:rsid w:val="00AE2B80"/>
    <w:rsid w:val="00AE2BC6"/>
    <w:rsid w:val="00AE381A"/>
    <w:rsid w:val="00AE389B"/>
    <w:rsid w:val="00AE4867"/>
    <w:rsid w:val="00AE49A2"/>
    <w:rsid w:val="00AE54DE"/>
    <w:rsid w:val="00AE6F48"/>
    <w:rsid w:val="00AE710D"/>
    <w:rsid w:val="00AF0D44"/>
    <w:rsid w:val="00AF1B21"/>
    <w:rsid w:val="00AF3747"/>
    <w:rsid w:val="00AF37CC"/>
    <w:rsid w:val="00AF499E"/>
    <w:rsid w:val="00AF5044"/>
    <w:rsid w:val="00AF6EB3"/>
    <w:rsid w:val="00B00382"/>
    <w:rsid w:val="00B00E17"/>
    <w:rsid w:val="00B01C79"/>
    <w:rsid w:val="00B02FE7"/>
    <w:rsid w:val="00B0325A"/>
    <w:rsid w:val="00B0348B"/>
    <w:rsid w:val="00B03A11"/>
    <w:rsid w:val="00B04123"/>
    <w:rsid w:val="00B0454E"/>
    <w:rsid w:val="00B0482C"/>
    <w:rsid w:val="00B05044"/>
    <w:rsid w:val="00B054A8"/>
    <w:rsid w:val="00B05DE3"/>
    <w:rsid w:val="00B06469"/>
    <w:rsid w:val="00B073F4"/>
    <w:rsid w:val="00B07409"/>
    <w:rsid w:val="00B07F70"/>
    <w:rsid w:val="00B1045A"/>
    <w:rsid w:val="00B10F6F"/>
    <w:rsid w:val="00B119CE"/>
    <w:rsid w:val="00B12015"/>
    <w:rsid w:val="00B1214C"/>
    <w:rsid w:val="00B12A2A"/>
    <w:rsid w:val="00B131DB"/>
    <w:rsid w:val="00B13E0D"/>
    <w:rsid w:val="00B149A1"/>
    <w:rsid w:val="00B150A1"/>
    <w:rsid w:val="00B152C5"/>
    <w:rsid w:val="00B1553B"/>
    <w:rsid w:val="00B15652"/>
    <w:rsid w:val="00B1569E"/>
    <w:rsid w:val="00B156A0"/>
    <w:rsid w:val="00B15D87"/>
    <w:rsid w:val="00B1670A"/>
    <w:rsid w:val="00B16A57"/>
    <w:rsid w:val="00B16A79"/>
    <w:rsid w:val="00B1721A"/>
    <w:rsid w:val="00B17527"/>
    <w:rsid w:val="00B17701"/>
    <w:rsid w:val="00B2174B"/>
    <w:rsid w:val="00B22116"/>
    <w:rsid w:val="00B22368"/>
    <w:rsid w:val="00B24913"/>
    <w:rsid w:val="00B25075"/>
    <w:rsid w:val="00B25636"/>
    <w:rsid w:val="00B2638A"/>
    <w:rsid w:val="00B26ACD"/>
    <w:rsid w:val="00B271DF"/>
    <w:rsid w:val="00B272C6"/>
    <w:rsid w:val="00B27BAE"/>
    <w:rsid w:val="00B30104"/>
    <w:rsid w:val="00B30189"/>
    <w:rsid w:val="00B315B4"/>
    <w:rsid w:val="00B319D1"/>
    <w:rsid w:val="00B33741"/>
    <w:rsid w:val="00B33D48"/>
    <w:rsid w:val="00B3465D"/>
    <w:rsid w:val="00B3615A"/>
    <w:rsid w:val="00B36548"/>
    <w:rsid w:val="00B36E59"/>
    <w:rsid w:val="00B37280"/>
    <w:rsid w:val="00B37629"/>
    <w:rsid w:val="00B37B8D"/>
    <w:rsid w:val="00B415E3"/>
    <w:rsid w:val="00B41A57"/>
    <w:rsid w:val="00B41C12"/>
    <w:rsid w:val="00B41EE1"/>
    <w:rsid w:val="00B42212"/>
    <w:rsid w:val="00B422C4"/>
    <w:rsid w:val="00B44559"/>
    <w:rsid w:val="00B446C9"/>
    <w:rsid w:val="00B4510C"/>
    <w:rsid w:val="00B46935"/>
    <w:rsid w:val="00B46ACC"/>
    <w:rsid w:val="00B46B0F"/>
    <w:rsid w:val="00B47509"/>
    <w:rsid w:val="00B50B23"/>
    <w:rsid w:val="00B512DF"/>
    <w:rsid w:val="00B51516"/>
    <w:rsid w:val="00B5263B"/>
    <w:rsid w:val="00B52979"/>
    <w:rsid w:val="00B52E0C"/>
    <w:rsid w:val="00B53172"/>
    <w:rsid w:val="00B5460E"/>
    <w:rsid w:val="00B555C0"/>
    <w:rsid w:val="00B556FD"/>
    <w:rsid w:val="00B55E74"/>
    <w:rsid w:val="00B56581"/>
    <w:rsid w:val="00B569DC"/>
    <w:rsid w:val="00B56E7A"/>
    <w:rsid w:val="00B5744B"/>
    <w:rsid w:val="00B60C5A"/>
    <w:rsid w:val="00B616AC"/>
    <w:rsid w:val="00B626C3"/>
    <w:rsid w:val="00B62AC8"/>
    <w:rsid w:val="00B634F5"/>
    <w:rsid w:val="00B635AE"/>
    <w:rsid w:val="00B643DD"/>
    <w:rsid w:val="00B64AE9"/>
    <w:rsid w:val="00B65029"/>
    <w:rsid w:val="00B65611"/>
    <w:rsid w:val="00B66CAD"/>
    <w:rsid w:val="00B6721E"/>
    <w:rsid w:val="00B67A72"/>
    <w:rsid w:val="00B711B2"/>
    <w:rsid w:val="00B71BE4"/>
    <w:rsid w:val="00B72B14"/>
    <w:rsid w:val="00B72B44"/>
    <w:rsid w:val="00B731CC"/>
    <w:rsid w:val="00B736BE"/>
    <w:rsid w:val="00B73F84"/>
    <w:rsid w:val="00B7497B"/>
    <w:rsid w:val="00B74D20"/>
    <w:rsid w:val="00B74FEE"/>
    <w:rsid w:val="00B75285"/>
    <w:rsid w:val="00B754D2"/>
    <w:rsid w:val="00B76EF4"/>
    <w:rsid w:val="00B776C6"/>
    <w:rsid w:val="00B7787E"/>
    <w:rsid w:val="00B77CF1"/>
    <w:rsid w:val="00B8105F"/>
    <w:rsid w:val="00B81AA2"/>
    <w:rsid w:val="00B81B66"/>
    <w:rsid w:val="00B832DA"/>
    <w:rsid w:val="00B8338D"/>
    <w:rsid w:val="00B839D6"/>
    <w:rsid w:val="00B83C51"/>
    <w:rsid w:val="00B851B7"/>
    <w:rsid w:val="00B85B6D"/>
    <w:rsid w:val="00B8738C"/>
    <w:rsid w:val="00B905EC"/>
    <w:rsid w:val="00B912DD"/>
    <w:rsid w:val="00B9161C"/>
    <w:rsid w:val="00B921EB"/>
    <w:rsid w:val="00B92C95"/>
    <w:rsid w:val="00B9419A"/>
    <w:rsid w:val="00B94A45"/>
    <w:rsid w:val="00B94D75"/>
    <w:rsid w:val="00B95C36"/>
    <w:rsid w:val="00B9680F"/>
    <w:rsid w:val="00B96848"/>
    <w:rsid w:val="00B96F11"/>
    <w:rsid w:val="00B9726C"/>
    <w:rsid w:val="00B9756D"/>
    <w:rsid w:val="00B97882"/>
    <w:rsid w:val="00B97CE3"/>
    <w:rsid w:val="00BA006A"/>
    <w:rsid w:val="00BA0658"/>
    <w:rsid w:val="00BA110A"/>
    <w:rsid w:val="00BA1499"/>
    <w:rsid w:val="00BA3EA7"/>
    <w:rsid w:val="00BA429E"/>
    <w:rsid w:val="00BA47DE"/>
    <w:rsid w:val="00BA4F6B"/>
    <w:rsid w:val="00BA694F"/>
    <w:rsid w:val="00BB010B"/>
    <w:rsid w:val="00BB0474"/>
    <w:rsid w:val="00BB0681"/>
    <w:rsid w:val="00BB1D37"/>
    <w:rsid w:val="00BB1F78"/>
    <w:rsid w:val="00BB2C3F"/>
    <w:rsid w:val="00BB2D0B"/>
    <w:rsid w:val="00BB3717"/>
    <w:rsid w:val="00BB4212"/>
    <w:rsid w:val="00BB42C1"/>
    <w:rsid w:val="00BB44D0"/>
    <w:rsid w:val="00BB457F"/>
    <w:rsid w:val="00BB4C7C"/>
    <w:rsid w:val="00BB5CDD"/>
    <w:rsid w:val="00BC00B1"/>
    <w:rsid w:val="00BC0856"/>
    <w:rsid w:val="00BC0D4B"/>
    <w:rsid w:val="00BC13E8"/>
    <w:rsid w:val="00BC1530"/>
    <w:rsid w:val="00BC182E"/>
    <w:rsid w:val="00BC2145"/>
    <w:rsid w:val="00BC27EC"/>
    <w:rsid w:val="00BC2802"/>
    <w:rsid w:val="00BC2916"/>
    <w:rsid w:val="00BC30B3"/>
    <w:rsid w:val="00BC3353"/>
    <w:rsid w:val="00BC3C84"/>
    <w:rsid w:val="00BC4561"/>
    <w:rsid w:val="00BC4A5F"/>
    <w:rsid w:val="00BC51EA"/>
    <w:rsid w:val="00BC522D"/>
    <w:rsid w:val="00BC5AAE"/>
    <w:rsid w:val="00BC5C54"/>
    <w:rsid w:val="00BC7ADB"/>
    <w:rsid w:val="00BD0F54"/>
    <w:rsid w:val="00BD113F"/>
    <w:rsid w:val="00BD11DF"/>
    <w:rsid w:val="00BD14C8"/>
    <w:rsid w:val="00BD1A7E"/>
    <w:rsid w:val="00BD20A0"/>
    <w:rsid w:val="00BD2A1E"/>
    <w:rsid w:val="00BD3D2B"/>
    <w:rsid w:val="00BD3F5A"/>
    <w:rsid w:val="00BD4AD6"/>
    <w:rsid w:val="00BD4CD4"/>
    <w:rsid w:val="00BD4EC5"/>
    <w:rsid w:val="00BD5218"/>
    <w:rsid w:val="00BD533F"/>
    <w:rsid w:val="00BD539C"/>
    <w:rsid w:val="00BD574E"/>
    <w:rsid w:val="00BD57D3"/>
    <w:rsid w:val="00BD6BEE"/>
    <w:rsid w:val="00BD762F"/>
    <w:rsid w:val="00BD78A8"/>
    <w:rsid w:val="00BD78CB"/>
    <w:rsid w:val="00BE0A69"/>
    <w:rsid w:val="00BE0BCF"/>
    <w:rsid w:val="00BE16A0"/>
    <w:rsid w:val="00BE1CA5"/>
    <w:rsid w:val="00BE24A4"/>
    <w:rsid w:val="00BE329E"/>
    <w:rsid w:val="00BE4759"/>
    <w:rsid w:val="00BE4A59"/>
    <w:rsid w:val="00BE4EB3"/>
    <w:rsid w:val="00BE5236"/>
    <w:rsid w:val="00BE5DBF"/>
    <w:rsid w:val="00BE63A1"/>
    <w:rsid w:val="00BE7799"/>
    <w:rsid w:val="00BE7D96"/>
    <w:rsid w:val="00BE7E1B"/>
    <w:rsid w:val="00BE7EFC"/>
    <w:rsid w:val="00BF1F08"/>
    <w:rsid w:val="00BF211F"/>
    <w:rsid w:val="00BF2EE0"/>
    <w:rsid w:val="00BF4197"/>
    <w:rsid w:val="00BF5DE6"/>
    <w:rsid w:val="00BF6BD1"/>
    <w:rsid w:val="00BF6C9F"/>
    <w:rsid w:val="00BF7AE1"/>
    <w:rsid w:val="00C00132"/>
    <w:rsid w:val="00C0062D"/>
    <w:rsid w:val="00C00A8C"/>
    <w:rsid w:val="00C021A6"/>
    <w:rsid w:val="00C02922"/>
    <w:rsid w:val="00C034FC"/>
    <w:rsid w:val="00C05AD9"/>
    <w:rsid w:val="00C05D5F"/>
    <w:rsid w:val="00C060B8"/>
    <w:rsid w:val="00C0708C"/>
    <w:rsid w:val="00C07A5B"/>
    <w:rsid w:val="00C103EF"/>
    <w:rsid w:val="00C10882"/>
    <w:rsid w:val="00C1088B"/>
    <w:rsid w:val="00C10CFA"/>
    <w:rsid w:val="00C110AB"/>
    <w:rsid w:val="00C121C4"/>
    <w:rsid w:val="00C131DB"/>
    <w:rsid w:val="00C133C8"/>
    <w:rsid w:val="00C13C5B"/>
    <w:rsid w:val="00C141B7"/>
    <w:rsid w:val="00C1430D"/>
    <w:rsid w:val="00C14712"/>
    <w:rsid w:val="00C14E4A"/>
    <w:rsid w:val="00C158C1"/>
    <w:rsid w:val="00C162AE"/>
    <w:rsid w:val="00C1636C"/>
    <w:rsid w:val="00C1657E"/>
    <w:rsid w:val="00C20207"/>
    <w:rsid w:val="00C204D8"/>
    <w:rsid w:val="00C206A0"/>
    <w:rsid w:val="00C21554"/>
    <w:rsid w:val="00C2193D"/>
    <w:rsid w:val="00C22DD2"/>
    <w:rsid w:val="00C23169"/>
    <w:rsid w:val="00C23257"/>
    <w:rsid w:val="00C2331E"/>
    <w:rsid w:val="00C24DA9"/>
    <w:rsid w:val="00C2521E"/>
    <w:rsid w:val="00C25517"/>
    <w:rsid w:val="00C25FB1"/>
    <w:rsid w:val="00C26841"/>
    <w:rsid w:val="00C269E3"/>
    <w:rsid w:val="00C277E8"/>
    <w:rsid w:val="00C27AC3"/>
    <w:rsid w:val="00C27FE0"/>
    <w:rsid w:val="00C300FD"/>
    <w:rsid w:val="00C304F2"/>
    <w:rsid w:val="00C30DC5"/>
    <w:rsid w:val="00C310B9"/>
    <w:rsid w:val="00C31348"/>
    <w:rsid w:val="00C316CC"/>
    <w:rsid w:val="00C31C03"/>
    <w:rsid w:val="00C32CA2"/>
    <w:rsid w:val="00C32F09"/>
    <w:rsid w:val="00C34600"/>
    <w:rsid w:val="00C35DF6"/>
    <w:rsid w:val="00C373FE"/>
    <w:rsid w:val="00C3777B"/>
    <w:rsid w:val="00C40053"/>
    <w:rsid w:val="00C40078"/>
    <w:rsid w:val="00C40936"/>
    <w:rsid w:val="00C41009"/>
    <w:rsid w:val="00C413FF"/>
    <w:rsid w:val="00C414EB"/>
    <w:rsid w:val="00C42CDD"/>
    <w:rsid w:val="00C4345E"/>
    <w:rsid w:val="00C444AF"/>
    <w:rsid w:val="00C4494F"/>
    <w:rsid w:val="00C45608"/>
    <w:rsid w:val="00C46694"/>
    <w:rsid w:val="00C466BB"/>
    <w:rsid w:val="00C472DE"/>
    <w:rsid w:val="00C5039C"/>
    <w:rsid w:val="00C50F89"/>
    <w:rsid w:val="00C536DF"/>
    <w:rsid w:val="00C536E9"/>
    <w:rsid w:val="00C538E3"/>
    <w:rsid w:val="00C53F44"/>
    <w:rsid w:val="00C55ED6"/>
    <w:rsid w:val="00C56CB7"/>
    <w:rsid w:val="00C56F09"/>
    <w:rsid w:val="00C56FE4"/>
    <w:rsid w:val="00C579E3"/>
    <w:rsid w:val="00C57F26"/>
    <w:rsid w:val="00C60160"/>
    <w:rsid w:val="00C60198"/>
    <w:rsid w:val="00C60237"/>
    <w:rsid w:val="00C60493"/>
    <w:rsid w:val="00C60AF7"/>
    <w:rsid w:val="00C6131C"/>
    <w:rsid w:val="00C61C6E"/>
    <w:rsid w:val="00C625BD"/>
    <w:rsid w:val="00C6262C"/>
    <w:rsid w:val="00C63435"/>
    <w:rsid w:val="00C63FAC"/>
    <w:rsid w:val="00C65BC2"/>
    <w:rsid w:val="00C67BA0"/>
    <w:rsid w:val="00C7018F"/>
    <w:rsid w:val="00C70462"/>
    <w:rsid w:val="00C70B07"/>
    <w:rsid w:val="00C71CFC"/>
    <w:rsid w:val="00C71EE6"/>
    <w:rsid w:val="00C72281"/>
    <w:rsid w:val="00C72819"/>
    <w:rsid w:val="00C72C07"/>
    <w:rsid w:val="00C739C6"/>
    <w:rsid w:val="00C75180"/>
    <w:rsid w:val="00C75209"/>
    <w:rsid w:val="00C75455"/>
    <w:rsid w:val="00C7726C"/>
    <w:rsid w:val="00C77BB4"/>
    <w:rsid w:val="00C80300"/>
    <w:rsid w:val="00C8090C"/>
    <w:rsid w:val="00C80ED6"/>
    <w:rsid w:val="00C814CD"/>
    <w:rsid w:val="00C81A52"/>
    <w:rsid w:val="00C82145"/>
    <w:rsid w:val="00C8487C"/>
    <w:rsid w:val="00C84A13"/>
    <w:rsid w:val="00C84F1A"/>
    <w:rsid w:val="00C8520D"/>
    <w:rsid w:val="00C85B0B"/>
    <w:rsid w:val="00C8642F"/>
    <w:rsid w:val="00C865DC"/>
    <w:rsid w:val="00C900B7"/>
    <w:rsid w:val="00C90964"/>
    <w:rsid w:val="00C90ACD"/>
    <w:rsid w:val="00C915A1"/>
    <w:rsid w:val="00C91691"/>
    <w:rsid w:val="00C93111"/>
    <w:rsid w:val="00C9347F"/>
    <w:rsid w:val="00C948F4"/>
    <w:rsid w:val="00C95F30"/>
    <w:rsid w:val="00C95F55"/>
    <w:rsid w:val="00C96317"/>
    <w:rsid w:val="00C96BFC"/>
    <w:rsid w:val="00C97753"/>
    <w:rsid w:val="00C97F39"/>
    <w:rsid w:val="00CA1CB1"/>
    <w:rsid w:val="00CA2342"/>
    <w:rsid w:val="00CA2538"/>
    <w:rsid w:val="00CA2916"/>
    <w:rsid w:val="00CA44A5"/>
    <w:rsid w:val="00CA659D"/>
    <w:rsid w:val="00CA6CCE"/>
    <w:rsid w:val="00CB031F"/>
    <w:rsid w:val="00CB1006"/>
    <w:rsid w:val="00CB1545"/>
    <w:rsid w:val="00CB171C"/>
    <w:rsid w:val="00CB23B6"/>
    <w:rsid w:val="00CB2C09"/>
    <w:rsid w:val="00CB3448"/>
    <w:rsid w:val="00CB41E7"/>
    <w:rsid w:val="00CB4B6A"/>
    <w:rsid w:val="00CB50D1"/>
    <w:rsid w:val="00CB50F7"/>
    <w:rsid w:val="00CB5171"/>
    <w:rsid w:val="00CB556D"/>
    <w:rsid w:val="00CB60B4"/>
    <w:rsid w:val="00CB6EFD"/>
    <w:rsid w:val="00CB7959"/>
    <w:rsid w:val="00CB7B3D"/>
    <w:rsid w:val="00CB7CEC"/>
    <w:rsid w:val="00CB7E56"/>
    <w:rsid w:val="00CC1127"/>
    <w:rsid w:val="00CC1525"/>
    <w:rsid w:val="00CC177A"/>
    <w:rsid w:val="00CC3B7A"/>
    <w:rsid w:val="00CC3F40"/>
    <w:rsid w:val="00CC453A"/>
    <w:rsid w:val="00CC4787"/>
    <w:rsid w:val="00CC5A05"/>
    <w:rsid w:val="00CC60A0"/>
    <w:rsid w:val="00CC78B4"/>
    <w:rsid w:val="00CC7DEA"/>
    <w:rsid w:val="00CD0466"/>
    <w:rsid w:val="00CD0BFF"/>
    <w:rsid w:val="00CD1F60"/>
    <w:rsid w:val="00CD2773"/>
    <w:rsid w:val="00CD2BB9"/>
    <w:rsid w:val="00CD2C45"/>
    <w:rsid w:val="00CD2D2E"/>
    <w:rsid w:val="00CD315F"/>
    <w:rsid w:val="00CD337A"/>
    <w:rsid w:val="00CD3E6A"/>
    <w:rsid w:val="00CD4612"/>
    <w:rsid w:val="00CD5448"/>
    <w:rsid w:val="00CD5C08"/>
    <w:rsid w:val="00CD5DCA"/>
    <w:rsid w:val="00CD64E4"/>
    <w:rsid w:val="00CD6DDD"/>
    <w:rsid w:val="00CE05BF"/>
    <w:rsid w:val="00CE084F"/>
    <w:rsid w:val="00CE093D"/>
    <w:rsid w:val="00CE1538"/>
    <w:rsid w:val="00CE1961"/>
    <w:rsid w:val="00CE26CF"/>
    <w:rsid w:val="00CE2ABD"/>
    <w:rsid w:val="00CE2F37"/>
    <w:rsid w:val="00CE40F7"/>
    <w:rsid w:val="00CE4E2E"/>
    <w:rsid w:val="00CE5396"/>
    <w:rsid w:val="00CE5519"/>
    <w:rsid w:val="00CE6248"/>
    <w:rsid w:val="00CE6390"/>
    <w:rsid w:val="00CE6E84"/>
    <w:rsid w:val="00CE72FD"/>
    <w:rsid w:val="00CE765D"/>
    <w:rsid w:val="00CE7C1E"/>
    <w:rsid w:val="00CE7EFC"/>
    <w:rsid w:val="00CF0B8A"/>
    <w:rsid w:val="00CF0CC7"/>
    <w:rsid w:val="00CF155A"/>
    <w:rsid w:val="00CF1CA7"/>
    <w:rsid w:val="00CF1D2D"/>
    <w:rsid w:val="00CF1D66"/>
    <w:rsid w:val="00CF2DFE"/>
    <w:rsid w:val="00CF2ECE"/>
    <w:rsid w:val="00CF2F07"/>
    <w:rsid w:val="00CF3334"/>
    <w:rsid w:val="00CF3643"/>
    <w:rsid w:val="00CF3AC5"/>
    <w:rsid w:val="00CF3E60"/>
    <w:rsid w:val="00CF44AB"/>
    <w:rsid w:val="00CF58A0"/>
    <w:rsid w:val="00CF58B6"/>
    <w:rsid w:val="00CF64BF"/>
    <w:rsid w:val="00CF64F1"/>
    <w:rsid w:val="00CF716F"/>
    <w:rsid w:val="00CF736D"/>
    <w:rsid w:val="00CF738A"/>
    <w:rsid w:val="00CF7888"/>
    <w:rsid w:val="00CF7F10"/>
    <w:rsid w:val="00D00DDF"/>
    <w:rsid w:val="00D0109A"/>
    <w:rsid w:val="00D027A7"/>
    <w:rsid w:val="00D028F0"/>
    <w:rsid w:val="00D02F4F"/>
    <w:rsid w:val="00D0426D"/>
    <w:rsid w:val="00D04C29"/>
    <w:rsid w:val="00D04D45"/>
    <w:rsid w:val="00D05D89"/>
    <w:rsid w:val="00D05E97"/>
    <w:rsid w:val="00D0636F"/>
    <w:rsid w:val="00D06CE0"/>
    <w:rsid w:val="00D06E43"/>
    <w:rsid w:val="00D076F3"/>
    <w:rsid w:val="00D07EC0"/>
    <w:rsid w:val="00D1139D"/>
    <w:rsid w:val="00D11C63"/>
    <w:rsid w:val="00D12286"/>
    <w:rsid w:val="00D12F9D"/>
    <w:rsid w:val="00D1422C"/>
    <w:rsid w:val="00D14451"/>
    <w:rsid w:val="00D15066"/>
    <w:rsid w:val="00D15394"/>
    <w:rsid w:val="00D155A0"/>
    <w:rsid w:val="00D1587F"/>
    <w:rsid w:val="00D15AF3"/>
    <w:rsid w:val="00D15B13"/>
    <w:rsid w:val="00D1658A"/>
    <w:rsid w:val="00D168F3"/>
    <w:rsid w:val="00D17585"/>
    <w:rsid w:val="00D2023E"/>
    <w:rsid w:val="00D2076C"/>
    <w:rsid w:val="00D2088C"/>
    <w:rsid w:val="00D20F8D"/>
    <w:rsid w:val="00D21036"/>
    <w:rsid w:val="00D21423"/>
    <w:rsid w:val="00D21DF9"/>
    <w:rsid w:val="00D22843"/>
    <w:rsid w:val="00D23062"/>
    <w:rsid w:val="00D232E8"/>
    <w:rsid w:val="00D2339B"/>
    <w:rsid w:val="00D23B81"/>
    <w:rsid w:val="00D24D84"/>
    <w:rsid w:val="00D2569B"/>
    <w:rsid w:val="00D25715"/>
    <w:rsid w:val="00D2653C"/>
    <w:rsid w:val="00D2664F"/>
    <w:rsid w:val="00D266B3"/>
    <w:rsid w:val="00D26975"/>
    <w:rsid w:val="00D26ED2"/>
    <w:rsid w:val="00D27839"/>
    <w:rsid w:val="00D27C94"/>
    <w:rsid w:val="00D27D71"/>
    <w:rsid w:val="00D305C1"/>
    <w:rsid w:val="00D31BB7"/>
    <w:rsid w:val="00D31C5B"/>
    <w:rsid w:val="00D31F8A"/>
    <w:rsid w:val="00D32942"/>
    <w:rsid w:val="00D359D5"/>
    <w:rsid w:val="00D36A0B"/>
    <w:rsid w:val="00D36C60"/>
    <w:rsid w:val="00D379E2"/>
    <w:rsid w:val="00D4139E"/>
    <w:rsid w:val="00D414BC"/>
    <w:rsid w:val="00D416DC"/>
    <w:rsid w:val="00D416F5"/>
    <w:rsid w:val="00D42912"/>
    <w:rsid w:val="00D42AE2"/>
    <w:rsid w:val="00D434C6"/>
    <w:rsid w:val="00D4473E"/>
    <w:rsid w:val="00D44AC2"/>
    <w:rsid w:val="00D44DB8"/>
    <w:rsid w:val="00D4652B"/>
    <w:rsid w:val="00D4673F"/>
    <w:rsid w:val="00D46965"/>
    <w:rsid w:val="00D47A96"/>
    <w:rsid w:val="00D47CE0"/>
    <w:rsid w:val="00D47F12"/>
    <w:rsid w:val="00D51A60"/>
    <w:rsid w:val="00D52C40"/>
    <w:rsid w:val="00D54770"/>
    <w:rsid w:val="00D5482B"/>
    <w:rsid w:val="00D54BF3"/>
    <w:rsid w:val="00D54EAF"/>
    <w:rsid w:val="00D55A69"/>
    <w:rsid w:val="00D5606E"/>
    <w:rsid w:val="00D56170"/>
    <w:rsid w:val="00D56F1A"/>
    <w:rsid w:val="00D573A5"/>
    <w:rsid w:val="00D579FB"/>
    <w:rsid w:val="00D60789"/>
    <w:rsid w:val="00D60A29"/>
    <w:rsid w:val="00D60CF7"/>
    <w:rsid w:val="00D60E60"/>
    <w:rsid w:val="00D61268"/>
    <w:rsid w:val="00D61CEC"/>
    <w:rsid w:val="00D62141"/>
    <w:rsid w:val="00D62660"/>
    <w:rsid w:val="00D63D88"/>
    <w:rsid w:val="00D63EB1"/>
    <w:rsid w:val="00D640AE"/>
    <w:rsid w:val="00D64B31"/>
    <w:rsid w:val="00D65150"/>
    <w:rsid w:val="00D6537F"/>
    <w:rsid w:val="00D65C3E"/>
    <w:rsid w:val="00D66B66"/>
    <w:rsid w:val="00D66C68"/>
    <w:rsid w:val="00D67A66"/>
    <w:rsid w:val="00D67BBF"/>
    <w:rsid w:val="00D67F89"/>
    <w:rsid w:val="00D67FA5"/>
    <w:rsid w:val="00D71309"/>
    <w:rsid w:val="00D7202E"/>
    <w:rsid w:val="00D725BD"/>
    <w:rsid w:val="00D729EB"/>
    <w:rsid w:val="00D72A9E"/>
    <w:rsid w:val="00D73137"/>
    <w:rsid w:val="00D7317F"/>
    <w:rsid w:val="00D7465C"/>
    <w:rsid w:val="00D74A5B"/>
    <w:rsid w:val="00D75831"/>
    <w:rsid w:val="00D76A17"/>
    <w:rsid w:val="00D77198"/>
    <w:rsid w:val="00D77208"/>
    <w:rsid w:val="00D77E17"/>
    <w:rsid w:val="00D80524"/>
    <w:rsid w:val="00D8142A"/>
    <w:rsid w:val="00D8177E"/>
    <w:rsid w:val="00D81C3D"/>
    <w:rsid w:val="00D82237"/>
    <w:rsid w:val="00D82729"/>
    <w:rsid w:val="00D82A7F"/>
    <w:rsid w:val="00D82D94"/>
    <w:rsid w:val="00D83137"/>
    <w:rsid w:val="00D83DC8"/>
    <w:rsid w:val="00D83E0A"/>
    <w:rsid w:val="00D85558"/>
    <w:rsid w:val="00D8579D"/>
    <w:rsid w:val="00D85E0A"/>
    <w:rsid w:val="00D85ECC"/>
    <w:rsid w:val="00D8610A"/>
    <w:rsid w:val="00D8611F"/>
    <w:rsid w:val="00D8716C"/>
    <w:rsid w:val="00D87FC9"/>
    <w:rsid w:val="00D9049A"/>
    <w:rsid w:val="00D904E6"/>
    <w:rsid w:val="00D91895"/>
    <w:rsid w:val="00D921FE"/>
    <w:rsid w:val="00D9307B"/>
    <w:rsid w:val="00D93397"/>
    <w:rsid w:val="00D93BC7"/>
    <w:rsid w:val="00D93F9C"/>
    <w:rsid w:val="00D955F8"/>
    <w:rsid w:val="00D95B21"/>
    <w:rsid w:val="00D96B20"/>
    <w:rsid w:val="00D9722F"/>
    <w:rsid w:val="00DA05D7"/>
    <w:rsid w:val="00DA061C"/>
    <w:rsid w:val="00DA06CF"/>
    <w:rsid w:val="00DA0708"/>
    <w:rsid w:val="00DA088B"/>
    <w:rsid w:val="00DA17FB"/>
    <w:rsid w:val="00DA1889"/>
    <w:rsid w:val="00DA1B56"/>
    <w:rsid w:val="00DA1F33"/>
    <w:rsid w:val="00DA206A"/>
    <w:rsid w:val="00DA26AB"/>
    <w:rsid w:val="00DA31FB"/>
    <w:rsid w:val="00DA3212"/>
    <w:rsid w:val="00DA345C"/>
    <w:rsid w:val="00DA3907"/>
    <w:rsid w:val="00DA42FA"/>
    <w:rsid w:val="00DA43DA"/>
    <w:rsid w:val="00DA45BB"/>
    <w:rsid w:val="00DA5C00"/>
    <w:rsid w:val="00DA5C7E"/>
    <w:rsid w:val="00DA5F9A"/>
    <w:rsid w:val="00DA605C"/>
    <w:rsid w:val="00DA6108"/>
    <w:rsid w:val="00DA62BA"/>
    <w:rsid w:val="00DA653E"/>
    <w:rsid w:val="00DA6692"/>
    <w:rsid w:val="00DA6D34"/>
    <w:rsid w:val="00DA743B"/>
    <w:rsid w:val="00DA75DD"/>
    <w:rsid w:val="00DA766B"/>
    <w:rsid w:val="00DB0172"/>
    <w:rsid w:val="00DB1C7A"/>
    <w:rsid w:val="00DB20A6"/>
    <w:rsid w:val="00DB2B61"/>
    <w:rsid w:val="00DB37D4"/>
    <w:rsid w:val="00DB3B95"/>
    <w:rsid w:val="00DB45D8"/>
    <w:rsid w:val="00DB50FA"/>
    <w:rsid w:val="00DB63ED"/>
    <w:rsid w:val="00DB79F2"/>
    <w:rsid w:val="00DC1123"/>
    <w:rsid w:val="00DC1254"/>
    <w:rsid w:val="00DC1302"/>
    <w:rsid w:val="00DC1D5D"/>
    <w:rsid w:val="00DC1D91"/>
    <w:rsid w:val="00DC3C01"/>
    <w:rsid w:val="00DC417A"/>
    <w:rsid w:val="00DC41F6"/>
    <w:rsid w:val="00DC42DA"/>
    <w:rsid w:val="00DC4443"/>
    <w:rsid w:val="00DC4A7D"/>
    <w:rsid w:val="00DC4EC4"/>
    <w:rsid w:val="00DC5AF2"/>
    <w:rsid w:val="00DC61DD"/>
    <w:rsid w:val="00DC79AB"/>
    <w:rsid w:val="00DD0C85"/>
    <w:rsid w:val="00DD1A01"/>
    <w:rsid w:val="00DD1E13"/>
    <w:rsid w:val="00DD1F97"/>
    <w:rsid w:val="00DD241F"/>
    <w:rsid w:val="00DD2725"/>
    <w:rsid w:val="00DD2DC5"/>
    <w:rsid w:val="00DD2F50"/>
    <w:rsid w:val="00DD3484"/>
    <w:rsid w:val="00DD5523"/>
    <w:rsid w:val="00DD55E1"/>
    <w:rsid w:val="00DD5A74"/>
    <w:rsid w:val="00DD5EFD"/>
    <w:rsid w:val="00DD7717"/>
    <w:rsid w:val="00DD7774"/>
    <w:rsid w:val="00DD7C3B"/>
    <w:rsid w:val="00DE19CB"/>
    <w:rsid w:val="00DE1BFE"/>
    <w:rsid w:val="00DE20D4"/>
    <w:rsid w:val="00DE27FD"/>
    <w:rsid w:val="00DE2B51"/>
    <w:rsid w:val="00DE31CB"/>
    <w:rsid w:val="00DE3BFF"/>
    <w:rsid w:val="00DE4214"/>
    <w:rsid w:val="00DE52E4"/>
    <w:rsid w:val="00DE60BE"/>
    <w:rsid w:val="00DE6223"/>
    <w:rsid w:val="00DE6F83"/>
    <w:rsid w:val="00DE7472"/>
    <w:rsid w:val="00DF03AF"/>
    <w:rsid w:val="00DF0B53"/>
    <w:rsid w:val="00DF0BFD"/>
    <w:rsid w:val="00DF102F"/>
    <w:rsid w:val="00DF2E5D"/>
    <w:rsid w:val="00DF330A"/>
    <w:rsid w:val="00DF6159"/>
    <w:rsid w:val="00E00112"/>
    <w:rsid w:val="00E0079D"/>
    <w:rsid w:val="00E02458"/>
    <w:rsid w:val="00E031A7"/>
    <w:rsid w:val="00E03B6A"/>
    <w:rsid w:val="00E03F86"/>
    <w:rsid w:val="00E04151"/>
    <w:rsid w:val="00E04F5C"/>
    <w:rsid w:val="00E053B3"/>
    <w:rsid w:val="00E056AB"/>
    <w:rsid w:val="00E058F5"/>
    <w:rsid w:val="00E059AB"/>
    <w:rsid w:val="00E06589"/>
    <w:rsid w:val="00E07643"/>
    <w:rsid w:val="00E11342"/>
    <w:rsid w:val="00E1200C"/>
    <w:rsid w:val="00E12278"/>
    <w:rsid w:val="00E1378E"/>
    <w:rsid w:val="00E14079"/>
    <w:rsid w:val="00E140C7"/>
    <w:rsid w:val="00E155DA"/>
    <w:rsid w:val="00E15B74"/>
    <w:rsid w:val="00E15F06"/>
    <w:rsid w:val="00E1631C"/>
    <w:rsid w:val="00E16453"/>
    <w:rsid w:val="00E1728D"/>
    <w:rsid w:val="00E174F7"/>
    <w:rsid w:val="00E2148A"/>
    <w:rsid w:val="00E21498"/>
    <w:rsid w:val="00E22884"/>
    <w:rsid w:val="00E23019"/>
    <w:rsid w:val="00E23163"/>
    <w:rsid w:val="00E2416A"/>
    <w:rsid w:val="00E244A9"/>
    <w:rsid w:val="00E24915"/>
    <w:rsid w:val="00E24C9D"/>
    <w:rsid w:val="00E25D79"/>
    <w:rsid w:val="00E26181"/>
    <w:rsid w:val="00E263F3"/>
    <w:rsid w:val="00E271C0"/>
    <w:rsid w:val="00E27614"/>
    <w:rsid w:val="00E279A6"/>
    <w:rsid w:val="00E304BD"/>
    <w:rsid w:val="00E30D32"/>
    <w:rsid w:val="00E31D86"/>
    <w:rsid w:val="00E32E1C"/>
    <w:rsid w:val="00E3389F"/>
    <w:rsid w:val="00E35F1A"/>
    <w:rsid w:val="00E35F73"/>
    <w:rsid w:val="00E364D3"/>
    <w:rsid w:val="00E365D4"/>
    <w:rsid w:val="00E36E93"/>
    <w:rsid w:val="00E36F3B"/>
    <w:rsid w:val="00E3720C"/>
    <w:rsid w:val="00E3787E"/>
    <w:rsid w:val="00E412B0"/>
    <w:rsid w:val="00E4182D"/>
    <w:rsid w:val="00E41EED"/>
    <w:rsid w:val="00E4316B"/>
    <w:rsid w:val="00E44E68"/>
    <w:rsid w:val="00E44F71"/>
    <w:rsid w:val="00E4501B"/>
    <w:rsid w:val="00E4515B"/>
    <w:rsid w:val="00E45872"/>
    <w:rsid w:val="00E45E04"/>
    <w:rsid w:val="00E460C2"/>
    <w:rsid w:val="00E46245"/>
    <w:rsid w:val="00E467A8"/>
    <w:rsid w:val="00E46AA8"/>
    <w:rsid w:val="00E47707"/>
    <w:rsid w:val="00E50350"/>
    <w:rsid w:val="00E50F38"/>
    <w:rsid w:val="00E512ED"/>
    <w:rsid w:val="00E5133B"/>
    <w:rsid w:val="00E51DDE"/>
    <w:rsid w:val="00E52D28"/>
    <w:rsid w:val="00E531E9"/>
    <w:rsid w:val="00E53604"/>
    <w:rsid w:val="00E54F83"/>
    <w:rsid w:val="00E550D6"/>
    <w:rsid w:val="00E55750"/>
    <w:rsid w:val="00E55B76"/>
    <w:rsid w:val="00E55E1B"/>
    <w:rsid w:val="00E55EAF"/>
    <w:rsid w:val="00E56CED"/>
    <w:rsid w:val="00E56F81"/>
    <w:rsid w:val="00E57FD1"/>
    <w:rsid w:val="00E60A12"/>
    <w:rsid w:val="00E60AE0"/>
    <w:rsid w:val="00E60AF6"/>
    <w:rsid w:val="00E60E52"/>
    <w:rsid w:val="00E6183A"/>
    <w:rsid w:val="00E6221F"/>
    <w:rsid w:val="00E62B17"/>
    <w:rsid w:val="00E63730"/>
    <w:rsid w:val="00E63C3A"/>
    <w:rsid w:val="00E64073"/>
    <w:rsid w:val="00E644B5"/>
    <w:rsid w:val="00E64BFD"/>
    <w:rsid w:val="00E6511E"/>
    <w:rsid w:val="00E65946"/>
    <w:rsid w:val="00E65C5D"/>
    <w:rsid w:val="00E6631D"/>
    <w:rsid w:val="00E70C1A"/>
    <w:rsid w:val="00E7137D"/>
    <w:rsid w:val="00E71924"/>
    <w:rsid w:val="00E7234E"/>
    <w:rsid w:val="00E72477"/>
    <w:rsid w:val="00E7280F"/>
    <w:rsid w:val="00E73105"/>
    <w:rsid w:val="00E73693"/>
    <w:rsid w:val="00E73713"/>
    <w:rsid w:val="00E73CC5"/>
    <w:rsid w:val="00E74B52"/>
    <w:rsid w:val="00E74FA0"/>
    <w:rsid w:val="00E76315"/>
    <w:rsid w:val="00E7698D"/>
    <w:rsid w:val="00E77300"/>
    <w:rsid w:val="00E77451"/>
    <w:rsid w:val="00E779FA"/>
    <w:rsid w:val="00E80793"/>
    <w:rsid w:val="00E81397"/>
    <w:rsid w:val="00E8157F"/>
    <w:rsid w:val="00E816A3"/>
    <w:rsid w:val="00E81C7A"/>
    <w:rsid w:val="00E82298"/>
    <w:rsid w:val="00E82332"/>
    <w:rsid w:val="00E82437"/>
    <w:rsid w:val="00E8253C"/>
    <w:rsid w:val="00E831C5"/>
    <w:rsid w:val="00E83AC5"/>
    <w:rsid w:val="00E83E86"/>
    <w:rsid w:val="00E83F40"/>
    <w:rsid w:val="00E84BA3"/>
    <w:rsid w:val="00E84F2C"/>
    <w:rsid w:val="00E850DA"/>
    <w:rsid w:val="00E8544B"/>
    <w:rsid w:val="00E862CF"/>
    <w:rsid w:val="00E86FDF"/>
    <w:rsid w:val="00E870D1"/>
    <w:rsid w:val="00E87759"/>
    <w:rsid w:val="00E87E38"/>
    <w:rsid w:val="00E90309"/>
    <w:rsid w:val="00E9080F"/>
    <w:rsid w:val="00E916D3"/>
    <w:rsid w:val="00E919CC"/>
    <w:rsid w:val="00E91EBD"/>
    <w:rsid w:val="00E937F5"/>
    <w:rsid w:val="00E949A8"/>
    <w:rsid w:val="00E949B6"/>
    <w:rsid w:val="00E94A18"/>
    <w:rsid w:val="00E950A6"/>
    <w:rsid w:val="00E95731"/>
    <w:rsid w:val="00E963A2"/>
    <w:rsid w:val="00E974BE"/>
    <w:rsid w:val="00E97684"/>
    <w:rsid w:val="00EA04D4"/>
    <w:rsid w:val="00EA091D"/>
    <w:rsid w:val="00EA2375"/>
    <w:rsid w:val="00EA24C6"/>
    <w:rsid w:val="00EA2B90"/>
    <w:rsid w:val="00EA394C"/>
    <w:rsid w:val="00EA3F67"/>
    <w:rsid w:val="00EA49FA"/>
    <w:rsid w:val="00EA4DF9"/>
    <w:rsid w:val="00EA53C2"/>
    <w:rsid w:val="00EA5AAC"/>
    <w:rsid w:val="00EA6DEB"/>
    <w:rsid w:val="00EA6F84"/>
    <w:rsid w:val="00EA7F93"/>
    <w:rsid w:val="00EB09F8"/>
    <w:rsid w:val="00EB0CE7"/>
    <w:rsid w:val="00EB0DD5"/>
    <w:rsid w:val="00EB13A3"/>
    <w:rsid w:val="00EB1EBA"/>
    <w:rsid w:val="00EB23CB"/>
    <w:rsid w:val="00EB247F"/>
    <w:rsid w:val="00EB2812"/>
    <w:rsid w:val="00EB5A5C"/>
    <w:rsid w:val="00EB5BA1"/>
    <w:rsid w:val="00EB783C"/>
    <w:rsid w:val="00EB79A9"/>
    <w:rsid w:val="00EB7DEC"/>
    <w:rsid w:val="00EC08DE"/>
    <w:rsid w:val="00EC0BB7"/>
    <w:rsid w:val="00EC0C2C"/>
    <w:rsid w:val="00EC0DE3"/>
    <w:rsid w:val="00EC142F"/>
    <w:rsid w:val="00EC191F"/>
    <w:rsid w:val="00EC2716"/>
    <w:rsid w:val="00EC2844"/>
    <w:rsid w:val="00EC3393"/>
    <w:rsid w:val="00EC38F4"/>
    <w:rsid w:val="00EC39C8"/>
    <w:rsid w:val="00EC3BE4"/>
    <w:rsid w:val="00EC4AAA"/>
    <w:rsid w:val="00EC62DA"/>
    <w:rsid w:val="00EC6769"/>
    <w:rsid w:val="00EC6A9C"/>
    <w:rsid w:val="00EC6F6B"/>
    <w:rsid w:val="00EC70E7"/>
    <w:rsid w:val="00EC71B7"/>
    <w:rsid w:val="00EC7677"/>
    <w:rsid w:val="00EC7B0B"/>
    <w:rsid w:val="00EC7E0E"/>
    <w:rsid w:val="00ED0E70"/>
    <w:rsid w:val="00ED172B"/>
    <w:rsid w:val="00ED2955"/>
    <w:rsid w:val="00ED3696"/>
    <w:rsid w:val="00ED3BF5"/>
    <w:rsid w:val="00ED3F3F"/>
    <w:rsid w:val="00ED48DC"/>
    <w:rsid w:val="00ED5729"/>
    <w:rsid w:val="00ED60D1"/>
    <w:rsid w:val="00ED6436"/>
    <w:rsid w:val="00ED6CF7"/>
    <w:rsid w:val="00ED7014"/>
    <w:rsid w:val="00ED798C"/>
    <w:rsid w:val="00EE01B4"/>
    <w:rsid w:val="00EE0DC2"/>
    <w:rsid w:val="00EE0EF4"/>
    <w:rsid w:val="00EE1682"/>
    <w:rsid w:val="00EE1D6B"/>
    <w:rsid w:val="00EE1E06"/>
    <w:rsid w:val="00EE36FB"/>
    <w:rsid w:val="00EE3B8F"/>
    <w:rsid w:val="00EE3BDA"/>
    <w:rsid w:val="00EE43BF"/>
    <w:rsid w:val="00EE58AC"/>
    <w:rsid w:val="00EE5F7C"/>
    <w:rsid w:val="00EE6198"/>
    <w:rsid w:val="00EE6E8D"/>
    <w:rsid w:val="00EF05BB"/>
    <w:rsid w:val="00EF0E6E"/>
    <w:rsid w:val="00EF1399"/>
    <w:rsid w:val="00EF1DB5"/>
    <w:rsid w:val="00EF1DC5"/>
    <w:rsid w:val="00EF2DB2"/>
    <w:rsid w:val="00EF2EC7"/>
    <w:rsid w:val="00EF4B9C"/>
    <w:rsid w:val="00EF4E83"/>
    <w:rsid w:val="00EF67B8"/>
    <w:rsid w:val="00EF6E8A"/>
    <w:rsid w:val="00EF753C"/>
    <w:rsid w:val="00EF7BB9"/>
    <w:rsid w:val="00F0045B"/>
    <w:rsid w:val="00F00B6F"/>
    <w:rsid w:val="00F01932"/>
    <w:rsid w:val="00F01E5F"/>
    <w:rsid w:val="00F0222C"/>
    <w:rsid w:val="00F02A5A"/>
    <w:rsid w:val="00F02D3E"/>
    <w:rsid w:val="00F02F48"/>
    <w:rsid w:val="00F0303F"/>
    <w:rsid w:val="00F03212"/>
    <w:rsid w:val="00F0471F"/>
    <w:rsid w:val="00F05720"/>
    <w:rsid w:val="00F058D6"/>
    <w:rsid w:val="00F062CC"/>
    <w:rsid w:val="00F06E01"/>
    <w:rsid w:val="00F10BEF"/>
    <w:rsid w:val="00F1163D"/>
    <w:rsid w:val="00F133DF"/>
    <w:rsid w:val="00F1372D"/>
    <w:rsid w:val="00F1389A"/>
    <w:rsid w:val="00F140F2"/>
    <w:rsid w:val="00F15460"/>
    <w:rsid w:val="00F15663"/>
    <w:rsid w:val="00F157CF"/>
    <w:rsid w:val="00F15FE3"/>
    <w:rsid w:val="00F16675"/>
    <w:rsid w:val="00F16A1F"/>
    <w:rsid w:val="00F16A8E"/>
    <w:rsid w:val="00F17D43"/>
    <w:rsid w:val="00F20B28"/>
    <w:rsid w:val="00F20C40"/>
    <w:rsid w:val="00F21732"/>
    <w:rsid w:val="00F21AC2"/>
    <w:rsid w:val="00F22D6D"/>
    <w:rsid w:val="00F22DF5"/>
    <w:rsid w:val="00F237BD"/>
    <w:rsid w:val="00F251A4"/>
    <w:rsid w:val="00F25516"/>
    <w:rsid w:val="00F26340"/>
    <w:rsid w:val="00F26C57"/>
    <w:rsid w:val="00F27010"/>
    <w:rsid w:val="00F27098"/>
    <w:rsid w:val="00F271AF"/>
    <w:rsid w:val="00F2790F"/>
    <w:rsid w:val="00F27F8E"/>
    <w:rsid w:val="00F30076"/>
    <w:rsid w:val="00F307B5"/>
    <w:rsid w:val="00F318F7"/>
    <w:rsid w:val="00F31D5F"/>
    <w:rsid w:val="00F322E5"/>
    <w:rsid w:val="00F3263B"/>
    <w:rsid w:val="00F33185"/>
    <w:rsid w:val="00F33B49"/>
    <w:rsid w:val="00F33DF6"/>
    <w:rsid w:val="00F3566F"/>
    <w:rsid w:val="00F35941"/>
    <w:rsid w:val="00F3609A"/>
    <w:rsid w:val="00F36ACB"/>
    <w:rsid w:val="00F370EE"/>
    <w:rsid w:val="00F37110"/>
    <w:rsid w:val="00F3779C"/>
    <w:rsid w:val="00F40375"/>
    <w:rsid w:val="00F4118C"/>
    <w:rsid w:val="00F413E4"/>
    <w:rsid w:val="00F41BD9"/>
    <w:rsid w:val="00F421B6"/>
    <w:rsid w:val="00F42EC1"/>
    <w:rsid w:val="00F439D3"/>
    <w:rsid w:val="00F44050"/>
    <w:rsid w:val="00F44224"/>
    <w:rsid w:val="00F44C28"/>
    <w:rsid w:val="00F4781B"/>
    <w:rsid w:val="00F47E59"/>
    <w:rsid w:val="00F47E87"/>
    <w:rsid w:val="00F50485"/>
    <w:rsid w:val="00F51650"/>
    <w:rsid w:val="00F519B0"/>
    <w:rsid w:val="00F519C4"/>
    <w:rsid w:val="00F51B91"/>
    <w:rsid w:val="00F51D22"/>
    <w:rsid w:val="00F51DDA"/>
    <w:rsid w:val="00F530F0"/>
    <w:rsid w:val="00F532A4"/>
    <w:rsid w:val="00F5446C"/>
    <w:rsid w:val="00F544D7"/>
    <w:rsid w:val="00F54B74"/>
    <w:rsid w:val="00F5500B"/>
    <w:rsid w:val="00F5566C"/>
    <w:rsid w:val="00F55A97"/>
    <w:rsid w:val="00F55C05"/>
    <w:rsid w:val="00F563BD"/>
    <w:rsid w:val="00F57732"/>
    <w:rsid w:val="00F606F8"/>
    <w:rsid w:val="00F60C6E"/>
    <w:rsid w:val="00F61C5F"/>
    <w:rsid w:val="00F61EE5"/>
    <w:rsid w:val="00F6255B"/>
    <w:rsid w:val="00F625C2"/>
    <w:rsid w:val="00F62689"/>
    <w:rsid w:val="00F62B6D"/>
    <w:rsid w:val="00F631E9"/>
    <w:rsid w:val="00F63FC0"/>
    <w:rsid w:val="00F64C66"/>
    <w:rsid w:val="00F6504A"/>
    <w:rsid w:val="00F65964"/>
    <w:rsid w:val="00F66DDA"/>
    <w:rsid w:val="00F677F2"/>
    <w:rsid w:val="00F67F65"/>
    <w:rsid w:val="00F70E4D"/>
    <w:rsid w:val="00F70F91"/>
    <w:rsid w:val="00F710A1"/>
    <w:rsid w:val="00F714AD"/>
    <w:rsid w:val="00F71AF1"/>
    <w:rsid w:val="00F71DD3"/>
    <w:rsid w:val="00F7270C"/>
    <w:rsid w:val="00F73407"/>
    <w:rsid w:val="00F73813"/>
    <w:rsid w:val="00F7463A"/>
    <w:rsid w:val="00F74692"/>
    <w:rsid w:val="00F746D1"/>
    <w:rsid w:val="00F74E36"/>
    <w:rsid w:val="00F75DA8"/>
    <w:rsid w:val="00F76394"/>
    <w:rsid w:val="00F764F4"/>
    <w:rsid w:val="00F76909"/>
    <w:rsid w:val="00F76B3D"/>
    <w:rsid w:val="00F76BA0"/>
    <w:rsid w:val="00F77769"/>
    <w:rsid w:val="00F800B9"/>
    <w:rsid w:val="00F80730"/>
    <w:rsid w:val="00F80B5F"/>
    <w:rsid w:val="00F8265B"/>
    <w:rsid w:val="00F82D23"/>
    <w:rsid w:val="00F84E91"/>
    <w:rsid w:val="00F84F0E"/>
    <w:rsid w:val="00F850CF"/>
    <w:rsid w:val="00F8588A"/>
    <w:rsid w:val="00F85F34"/>
    <w:rsid w:val="00F86268"/>
    <w:rsid w:val="00F8663D"/>
    <w:rsid w:val="00F86E0F"/>
    <w:rsid w:val="00F87104"/>
    <w:rsid w:val="00F871EF"/>
    <w:rsid w:val="00F87D95"/>
    <w:rsid w:val="00F90528"/>
    <w:rsid w:val="00F91F59"/>
    <w:rsid w:val="00F922BD"/>
    <w:rsid w:val="00F92ABB"/>
    <w:rsid w:val="00F93348"/>
    <w:rsid w:val="00F9427B"/>
    <w:rsid w:val="00F95A3B"/>
    <w:rsid w:val="00F95CF8"/>
    <w:rsid w:val="00F96265"/>
    <w:rsid w:val="00F96C4E"/>
    <w:rsid w:val="00F9745F"/>
    <w:rsid w:val="00F974CD"/>
    <w:rsid w:val="00F975CF"/>
    <w:rsid w:val="00F97643"/>
    <w:rsid w:val="00FA0B3E"/>
    <w:rsid w:val="00FA0F86"/>
    <w:rsid w:val="00FA104C"/>
    <w:rsid w:val="00FA166F"/>
    <w:rsid w:val="00FA16B9"/>
    <w:rsid w:val="00FA2261"/>
    <w:rsid w:val="00FA31C3"/>
    <w:rsid w:val="00FA54EA"/>
    <w:rsid w:val="00FA5EAC"/>
    <w:rsid w:val="00FA6742"/>
    <w:rsid w:val="00FA69BF"/>
    <w:rsid w:val="00FA7566"/>
    <w:rsid w:val="00FA7879"/>
    <w:rsid w:val="00FA7B8C"/>
    <w:rsid w:val="00FA7B96"/>
    <w:rsid w:val="00FB002C"/>
    <w:rsid w:val="00FB3763"/>
    <w:rsid w:val="00FB4A98"/>
    <w:rsid w:val="00FB4EDA"/>
    <w:rsid w:val="00FB5005"/>
    <w:rsid w:val="00FB51C0"/>
    <w:rsid w:val="00FB5470"/>
    <w:rsid w:val="00FB566D"/>
    <w:rsid w:val="00FB5B47"/>
    <w:rsid w:val="00FC01B3"/>
    <w:rsid w:val="00FC0A25"/>
    <w:rsid w:val="00FC0D22"/>
    <w:rsid w:val="00FC0ED1"/>
    <w:rsid w:val="00FC13A4"/>
    <w:rsid w:val="00FC1D25"/>
    <w:rsid w:val="00FC2366"/>
    <w:rsid w:val="00FC2BCA"/>
    <w:rsid w:val="00FC31DA"/>
    <w:rsid w:val="00FC49DB"/>
    <w:rsid w:val="00FC5009"/>
    <w:rsid w:val="00FC5018"/>
    <w:rsid w:val="00FC55CD"/>
    <w:rsid w:val="00FC5BF1"/>
    <w:rsid w:val="00FC6359"/>
    <w:rsid w:val="00FC7F39"/>
    <w:rsid w:val="00FD19A8"/>
    <w:rsid w:val="00FD206C"/>
    <w:rsid w:val="00FD3DA9"/>
    <w:rsid w:val="00FD4578"/>
    <w:rsid w:val="00FD489D"/>
    <w:rsid w:val="00FD50BA"/>
    <w:rsid w:val="00FD60A3"/>
    <w:rsid w:val="00FD6B14"/>
    <w:rsid w:val="00FD6F4A"/>
    <w:rsid w:val="00FD74E7"/>
    <w:rsid w:val="00FD7E22"/>
    <w:rsid w:val="00FE0D88"/>
    <w:rsid w:val="00FE2EBC"/>
    <w:rsid w:val="00FE3241"/>
    <w:rsid w:val="00FE3262"/>
    <w:rsid w:val="00FE33A8"/>
    <w:rsid w:val="00FE4DEC"/>
    <w:rsid w:val="00FE59A7"/>
    <w:rsid w:val="00FE5C96"/>
    <w:rsid w:val="00FE6BAA"/>
    <w:rsid w:val="00FE7714"/>
    <w:rsid w:val="00FF13D5"/>
    <w:rsid w:val="00FF15F8"/>
    <w:rsid w:val="00FF1C6B"/>
    <w:rsid w:val="00FF1EEF"/>
    <w:rsid w:val="00FF2CD0"/>
    <w:rsid w:val="00FF3285"/>
    <w:rsid w:val="00FF3732"/>
    <w:rsid w:val="00FF39CD"/>
    <w:rsid w:val="00FF3D35"/>
    <w:rsid w:val="00FF4055"/>
    <w:rsid w:val="00FF415B"/>
    <w:rsid w:val="00FF484F"/>
    <w:rsid w:val="00FF52AC"/>
    <w:rsid w:val="00FF5393"/>
    <w:rsid w:val="00FF56C7"/>
    <w:rsid w:val="00FF579D"/>
    <w:rsid w:val="00FF5DB1"/>
    <w:rsid w:val="00FF5E53"/>
    <w:rsid w:val="00FF72F0"/>
    <w:rsid w:val="00FF74DA"/>
    <w:rsid w:val="010E34A8"/>
    <w:rsid w:val="02310CC3"/>
    <w:rsid w:val="02C96C79"/>
    <w:rsid w:val="044A1F73"/>
    <w:rsid w:val="050B782D"/>
    <w:rsid w:val="05A410EE"/>
    <w:rsid w:val="05DC5A05"/>
    <w:rsid w:val="0660268D"/>
    <w:rsid w:val="067C7D23"/>
    <w:rsid w:val="06E44608"/>
    <w:rsid w:val="06E67CAC"/>
    <w:rsid w:val="078E6CAB"/>
    <w:rsid w:val="07F63FD4"/>
    <w:rsid w:val="09574017"/>
    <w:rsid w:val="09CC142E"/>
    <w:rsid w:val="0A9661E6"/>
    <w:rsid w:val="0BD558A3"/>
    <w:rsid w:val="0C1E5D20"/>
    <w:rsid w:val="0C7D5B3D"/>
    <w:rsid w:val="0D00171D"/>
    <w:rsid w:val="0DD468CC"/>
    <w:rsid w:val="100E69B5"/>
    <w:rsid w:val="155961C8"/>
    <w:rsid w:val="15AE38D0"/>
    <w:rsid w:val="15C87CC0"/>
    <w:rsid w:val="15FD5AA9"/>
    <w:rsid w:val="165A7CBD"/>
    <w:rsid w:val="17487720"/>
    <w:rsid w:val="18433D99"/>
    <w:rsid w:val="18CD7C86"/>
    <w:rsid w:val="192F3398"/>
    <w:rsid w:val="19AD3143"/>
    <w:rsid w:val="19FB6A23"/>
    <w:rsid w:val="1A660E62"/>
    <w:rsid w:val="1B651764"/>
    <w:rsid w:val="1D532A86"/>
    <w:rsid w:val="1D592B2A"/>
    <w:rsid w:val="1DDB1FB4"/>
    <w:rsid w:val="1E711D0B"/>
    <w:rsid w:val="1E756914"/>
    <w:rsid w:val="1EFD5868"/>
    <w:rsid w:val="1F442526"/>
    <w:rsid w:val="1FA24EA9"/>
    <w:rsid w:val="20323E53"/>
    <w:rsid w:val="212B494F"/>
    <w:rsid w:val="215614C2"/>
    <w:rsid w:val="22583630"/>
    <w:rsid w:val="228E0A14"/>
    <w:rsid w:val="229776BA"/>
    <w:rsid w:val="23971C56"/>
    <w:rsid w:val="23D077EE"/>
    <w:rsid w:val="23EF4414"/>
    <w:rsid w:val="247E33A1"/>
    <w:rsid w:val="248E5748"/>
    <w:rsid w:val="24EC5C15"/>
    <w:rsid w:val="257B7DF1"/>
    <w:rsid w:val="258472B2"/>
    <w:rsid w:val="25EF6EB0"/>
    <w:rsid w:val="266B3933"/>
    <w:rsid w:val="271E5E28"/>
    <w:rsid w:val="27F70614"/>
    <w:rsid w:val="287E156F"/>
    <w:rsid w:val="29902EEE"/>
    <w:rsid w:val="2AD544C0"/>
    <w:rsid w:val="2B6F5FFB"/>
    <w:rsid w:val="2B9B59E5"/>
    <w:rsid w:val="2BA6568C"/>
    <w:rsid w:val="2C4C2113"/>
    <w:rsid w:val="2C5915C0"/>
    <w:rsid w:val="2CA90584"/>
    <w:rsid w:val="2CF221ED"/>
    <w:rsid w:val="2DAB1683"/>
    <w:rsid w:val="2E6B4D2B"/>
    <w:rsid w:val="2F571452"/>
    <w:rsid w:val="30583D35"/>
    <w:rsid w:val="306E0741"/>
    <w:rsid w:val="31C4738B"/>
    <w:rsid w:val="32334CAF"/>
    <w:rsid w:val="323A66D4"/>
    <w:rsid w:val="32663103"/>
    <w:rsid w:val="345604A6"/>
    <w:rsid w:val="358477BE"/>
    <w:rsid w:val="3611493F"/>
    <w:rsid w:val="36C50B9D"/>
    <w:rsid w:val="377D1F19"/>
    <w:rsid w:val="378F2D57"/>
    <w:rsid w:val="39810D7A"/>
    <w:rsid w:val="3AE638E8"/>
    <w:rsid w:val="3B0332E1"/>
    <w:rsid w:val="3B6D0264"/>
    <w:rsid w:val="3BEA5B1F"/>
    <w:rsid w:val="3C295A62"/>
    <w:rsid w:val="3CCD43E8"/>
    <w:rsid w:val="3CF66A4D"/>
    <w:rsid w:val="3D94741D"/>
    <w:rsid w:val="3DAA2463"/>
    <w:rsid w:val="3DD549EC"/>
    <w:rsid w:val="3F290A97"/>
    <w:rsid w:val="3FCE01CE"/>
    <w:rsid w:val="40AD75A3"/>
    <w:rsid w:val="41AC50D9"/>
    <w:rsid w:val="42411BC5"/>
    <w:rsid w:val="435A5A2C"/>
    <w:rsid w:val="44715A99"/>
    <w:rsid w:val="447F12E3"/>
    <w:rsid w:val="451A12DE"/>
    <w:rsid w:val="451C5A3C"/>
    <w:rsid w:val="45375E44"/>
    <w:rsid w:val="46116B93"/>
    <w:rsid w:val="461B505D"/>
    <w:rsid w:val="462D6112"/>
    <w:rsid w:val="4673347D"/>
    <w:rsid w:val="47043921"/>
    <w:rsid w:val="47975B19"/>
    <w:rsid w:val="49C500AE"/>
    <w:rsid w:val="49E36E5B"/>
    <w:rsid w:val="4C260D47"/>
    <w:rsid w:val="4E7C5B87"/>
    <w:rsid w:val="4E9C6530"/>
    <w:rsid w:val="4EF22F29"/>
    <w:rsid w:val="4EFF4AA9"/>
    <w:rsid w:val="4F3D5DB9"/>
    <w:rsid w:val="4FA26F48"/>
    <w:rsid w:val="4FE11A4A"/>
    <w:rsid w:val="52AD46C2"/>
    <w:rsid w:val="535342D3"/>
    <w:rsid w:val="53DC3775"/>
    <w:rsid w:val="541B2610"/>
    <w:rsid w:val="543E1F27"/>
    <w:rsid w:val="547617AA"/>
    <w:rsid w:val="54F236CE"/>
    <w:rsid w:val="550A37EF"/>
    <w:rsid w:val="56764B7A"/>
    <w:rsid w:val="57EC40E3"/>
    <w:rsid w:val="57ED054C"/>
    <w:rsid w:val="586548F4"/>
    <w:rsid w:val="58690A6E"/>
    <w:rsid w:val="58BE161C"/>
    <w:rsid w:val="58F076DC"/>
    <w:rsid w:val="5A602B6B"/>
    <w:rsid w:val="5B720165"/>
    <w:rsid w:val="5CF43A96"/>
    <w:rsid w:val="5D0D4E65"/>
    <w:rsid w:val="5D24108F"/>
    <w:rsid w:val="5E4A2285"/>
    <w:rsid w:val="5F2A7D19"/>
    <w:rsid w:val="607A2BF6"/>
    <w:rsid w:val="60BF4C44"/>
    <w:rsid w:val="61B15111"/>
    <w:rsid w:val="61DE52A4"/>
    <w:rsid w:val="62052802"/>
    <w:rsid w:val="624108CB"/>
    <w:rsid w:val="644342DC"/>
    <w:rsid w:val="64BE5148"/>
    <w:rsid w:val="652C2E89"/>
    <w:rsid w:val="654B7A4A"/>
    <w:rsid w:val="65D94C31"/>
    <w:rsid w:val="65F12ACE"/>
    <w:rsid w:val="668723AC"/>
    <w:rsid w:val="66AA74F2"/>
    <w:rsid w:val="67461566"/>
    <w:rsid w:val="67B5225A"/>
    <w:rsid w:val="686F1215"/>
    <w:rsid w:val="689C66F3"/>
    <w:rsid w:val="68A64A81"/>
    <w:rsid w:val="68B51506"/>
    <w:rsid w:val="696D1ACF"/>
    <w:rsid w:val="6E6C18D3"/>
    <w:rsid w:val="6F420357"/>
    <w:rsid w:val="6F9C6C4E"/>
    <w:rsid w:val="6FB025BF"/>
    <w:rsid w:val="6FF439BE"/>
    <w:rsid w:val="706030CB"/>
    <w:rsid w:val="70C64326"/>
    <w:rsid w:val="716D187F"/>
    <w:rsid w:val="73612F09"/>
    <w:rsid w:val="74751B26"/>
    <w:rsid w:val="74786475"/>
    <w:rsid w:val="75E0254B"/>
    <w:rsid w:val="76C47985"/>
    <w:rsid w:val="775136E4"/>
    <w:rsid w:val="78034610"/>
    <w:rsid w:val="78316EC3"/>
    <w:rsid w:val="7866371A"/>
    <w:rsid w:val="794B3CF4"/>
    <w:rsid w:val="79553A05"/>
    <w:rsid w:val="7B544AC6"/>
    <w:rsid w:val="7F403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qFormat="1"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Body Text"/>
    <w:basedOn w:val="1"/>
    <w:link w:val="30"/>
    <w:semiHidden/>
    <w:unhideWhenUsed/>
    <w:qFormat/>
    <w:uiPriority w:val="99"/>
    <w:pPr>
      <w:spacing w:after="120"/>
    </w:pPr>
  </w:style>
  <w:style w:type="paragraph" w:styleId="3">
    <w:name w:val="Body Text Indent"/>
    <w:basedOn w:val="1"/>
    <w:link w:val="28"/>
    <w:qFormat/>
    <w:uiPriority w:val="0"/>
    <w:pPr>
      <w:spacing w:line="600" w:lineRule="exact"/>
      <w:ind w:firstLine="573"/>
    </w:pPr>
    <w:rPr>
      <w:rFonts w:ascii="仿宋_GB2312"/>
      <w:szCs w:val="24"/>
    </w:rPr>
  </w:style>
  <w:style w:type="paragraph" w:styleId="4">
    <w:name w:val="Plain Text"/>
    <w:basedOn w:val="1"/>
    <w:link w:val="19"/>
    <w:qFormat/>
    <w:uiPriority w:val="0"/>
    <w:rPr>
      <w:rFonts w:ascii="宋体" w:hAnsi="Courier New" w:eastAsia="宋体" w:cs="Courier New"/>
      <w:sz w:val="21"/>
      <w:szCs w:val="21"/>
    </w:rPr>
  </w:style>
  <w:style w:type="paragraph" w:styleId="5">
    <w:name w:val="Body Text Indent 2"/>
    <w:basedOn w:val="1"/>
    <w:link w:val="33"/>
    <w:semiHidden/>
    <w:unhideWhenUsed/>
    <w:qFormat/>
    <w:uiPriority w:val="99"/>
    <w:pPr>
      <w:spacing w:after="120" w:line="480" w:lineRule="auto"/>
      <w:ind w:left="420" w:leftChars="200"/>
    </w:pPr>
  </w:style>
  <w:style w:type="paragraph" w:styleId="6">
    <w:name w:val="Balloon Text"/>
    <w:basedOn w:val="1"/>
    <w:link w:val="35"/>
    <w:semiHidden/>
    <w:unhideWhenUsed/>
    <w:qFormat/>
    <w:uiPriority w:val="99"/>
    <w:rPr>
      <w:sz w:val="18"/>
      <w:szCs w:val="18"/>
    </w:rPr>
  </w:style>
  <w:style w:type="paragraph" w:styleId="7">
    <w:name w:val="footer"/>
    <w:basedOn w:val="1"/>
    <w:link w:val="1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toc 1"/>
    <w:basedOn w:val="1"/>
    <w:next w:val="1"/>
    <w:qFormat/>
    <w:uiPriority w:val="39"/>
    <w:pPr>
      <w:tabs>
        <w:tab w:val="right" w:leader="dot" w:pos="8302"/>
      </w:tabs>
      <w:spacing w:line="600" w:lineRule="exact"/>
      <w:ind w:left="-2" w:leftChars="-1"/>
      <w:jc w:val="center"/>
    </w:pPr>
    <w:rPr>
      <w:rFonts w:ascii="方正小标宋_GBK" w:eastAsia="方正小标宋_GBK"/>
      <w:sz w:val="44"/>
      <w:szCs w:val="44"/>
    </w:rPr>
  </w:style>
  <w:style w:type="paragraph" w:styleId="10">
    <w:name w:val="Body Text 2"/>
    <w:basedOn w:val="1"/>
    <w:link w:val="31"/>
    <w:unhideWhenUsed/>
    <w:qFormat/>
    <w:uiPriority w:val="99"/>
    <w:pPr>
      <w:spacing w:after="120" w:line="480" w:lineRule="auto"/>
    </w:pPr>
  </w:style>
  <w:style w:type="paragraph" w:styleId="11">
    <w:name w:val="Normal (Web)"/>
    <w:basedOn w:val="1"/>
    <w:qFormat/>
    <w:uiPriority w:val="99"/>
    <w:pPr>
      <w:jc w:val="left"/>
    </w:pPr>
    <w:rPr>
      <w:rFonts w:ascii="Calibri" w:hAnsi="Calibri" w:eastAsia="宋体"/>
      <w:kern w:val="0"/>
      <w:sz w:val="24"/>
      <w:szCs w:val="24"/>
    </w:rPr>
  </w:style>
  <w:style w:type="table" w:styleId="13">
    <w:name w:val="Table Grid"/>
    <w:basedOn w:val="1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22"/>
    <w:rPr>
      <w:b/>
      <w:bCs/>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页眉 Char"/>
    <w:basedOn w:val="14"/>
    <w:link w:val="8"/>
    <w:qFormat/>
    <w:uiPriority w:val="99"/>
    <w:rPr>
      <w:sz w:val="18"/>
      <w:szCs w:val="18"/>
    </w:rPr>
  </w:style>
  <w:style w:type="character" w:customStyle="1" w:styleId="18">
    <w:name w:val="页脚 Char"/>
    <w:basedOn w:val="14"/>
    <w:link w:val="7"/>
    <w:qFormat/>
    <w:uiPriority w:val="0"/>
    <w:rPr>
      <w:sz w:val="18"/>
      <w:szCs w:val="18"/>
    </w:rPr>
  </w:style>
  <w:style w:type="character" w:customStyle="1" w:styleId="19">
    <w:name w:val="纯文本 Char"/>
    <w:basedOn w:val="14"/>
    <w:link w:val="4"/>
    <w:qFormat/>
    <w:uiPriority w:val="0"/>
    <w:rPr>
      <w:rFonts w:ascii="宋体" w:hAnsi="Courier New" w:eastAsia="宋体" w:cs="Courier New"/>
      <w:szCs w:val="21"/>
    </w:rPr>
  </w:style>
  <w:style w:type="paragraph" w:customStyle="1" w:styleId="20">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正文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22">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3">
    <w:name w:val="List Paragraph"/>
    <w:basedOn w:val="1"/>
    <w:qFormat/>
    <w:uiPriority w:val="34"/>
    <w:pPr>
      <w:ind w:firstLine="420" w:firstLineChars="200"/>
    </w:pPr>
  </w:style>
  <w:style w:type="paragraph" w:customStyle="1" w:styleId="24">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正文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26">
    <w:name w:val="p0"/>
    <w:basedOn w:val="1"/>
    <w:qFormat/>
    <w:uiPriority w:val="0"/>
    <w:pPr>
      <w:widowControl/>
      <w:spacing w:line="600" w:lineRule="atLeast"/>
      <w:ind w:firstLine="420"/>
    </w:pPr>
    <w:rPr>
      <w:rFonts w:ascii="Calibri" w:hAnsi="Calibri" w:eastAsia="宋体" w:cs="Calibri"/>
      <w:kern w:val="0"/>
      <w:sz w:val="21"/>
      <w:szCs w:val="21"/>
    </w:rPr>
  </w:style>
  <w:style w:type="paragraph" w:customStyle="1" w:styleId="27">
    <w:name w:val="段前空两格"/>
    <w:basedOn w:val="1"/>
    <w:qFormat/>
    <w:uiPriority w:val="0"/>
    <w:pPr>
      <w:spacing w:line="620" w:lineRule="exact"/>
      <w:ind w:firstLine="640" w:firstLineChars="200"/>
    </w:pPr>
    <w:rPr>
      <w:rFonts w:ascii="文星简仿宋" w:hAnsi="宋体" w:eastAsia="文星简仿宋"/>
      <w:color w:val="000000"/>
      <w:szCs w:val="24"/>
    </w:rPr>
  </w:style>
  <w:style w:type="character" w:customStyle="1" w:styleId="28">
    <w:name w:val="正文文本缩进 Char"/>
    <w:basedOn w:val="14"/>
    <w:link w:val="3"/>
    <w:qFormat/>
    <w:uiPriority w:val="0"/>
    <w:rPr>
      <w:rFonts w:ascii="仿宋_GB2312" w:hAnsi="Times New Roman" w:eastAsia="仿宋_GB2312" w:cs="Times New Roman"/>
      <w:sz w:val="32"/>
      <w:szCs w:val="24"/>
    </w:rPr>
  </w:style>
  <w:style w:type="paragraph" w:customStyle="1" w:styleId="29">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0">
    <w:name w:val="正文文本 Char"/>
    <w:basedOn w:val="14"/>
    <w:link w:val="2"/>
    <w:semiHidden/>
    <w:qFormat/>
    <w:uiPriority w:val="99"/>
    <w:rPr>
      <w:rFonts w:ascii="Times New Roman" w:hAnsi="Times New Roman" w:eastAsia="仿宋_GB2312" w:cs="Times New Roman"/>
      <w:sz w:val="32"/>
      <w:szCs w:val="32"/>
    </w:rPr>
  </w:style>
  <w:style w:type="character" w:customStyle="1" w:styleId="31">
    <w:name w:val="正文文本 2 Char"/>
    <w:basedOn w:val="14"/>
    <w:link w:val="10"/>
    <w:qFormat/>
    <w:uiPriority w:val="99"/>
    <w:rPr>
      <w:rFonts w:ascii="Times New Roman" w:hAnsi="Times New Roman" w:eastAsia="仿宋_GB2312" w:cs="Times New Roman"/>
      <w:sz w:val="32"/>
      <w:szCs w:val="32"/>
    </w:rPr>
  </w:style>
  <w:style w:type="paragraph" w:customStyle="1" w:styleId="32">
    <w:name w:val="正文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 w:type="character" w:customStyle="1" w:styleId="33">
    <w:name w:val="正文文本缩进 2 Char"/>
    <w:basedOn w:val="14"/>
    <w:link w:val="5"/>
    <w:semiHidden/>
    <w:qFormat/>
    <w:uiPriority w:val="99"/>
    <w:rPr>
      <w:rFonts w:ascii="Times New Roman" w:hAnsi="Times New Roman" w:eastAsia="仿宋_GB2312" w:cs="Times New Roman"/>
      <w:sz w:val="32"/>
      <w:szCs w:val="32"/>
    </w:rPr>
  </w:style>
  <w:style w:type="paragraph" w:customStyle="1" w:styleId="34">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35">
    <w:name w:val="批注框文本 Char"/>
    <w:basedOn w:val="14"/>
    <w:link w:val="6"/>
    <w:semiHidden/>
    <w:qFormat/>
    <w:uiPriority w:val="99"/>
    <w:rPr>
      <w:rFonts w:ascii="Times New Roman" w:hAnsi="Times New Roman" w:eastAsia="仿宋_GB2312" w:cs="Times New Roman"/>
      <w:sz w:val="18"/>
      <w:szCs w:val="18"/>
    </w:rPr>
  </w:style>
  <w:style w:type="paragraph" w:customStyle="1" w:styleId="36">
    <w:name w:val="正文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37">
    <w:name w:val="正文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8">
    <w:name w:val="正文1"/>
    <w:qFormat/>
    <w:uiPriority w:val="0"/>
    <w:pPr>
      <w:jc w:val="both"/>
    </w:pPr>
    <w:rPr>
      <w:rFonts w:ascii="Calibri" w:hAnsi="Calibri" w:eastAsia="宋体" w:cs="宋体"/>
      <w:kern w:val="2"/>
      <w:sz w:val="21"/>
      <w:szCs w:val="21"/>
      <w:lang w:val="en-US" w:eastAsia="zh-CN" w:bidi="ar-SA"/>
    </w:rPr>
  </w:style>
  <w:style w:type="paragraph" w:customStyle="1" w:styleId="39">
    <w:name w:val="Default"/>
    <w:basedOn w:val="1"/>
    <w:semiHidden/>
    <w:qFormat/>
    <w:uiPriority w:val="0"/>
    <w:pPr>
      <w:autoSpaceDE w:val="0"/>
      <w:autoSpaceDN w:val="0"/>
      <w:adjustRightInd w:val="0"/>
      <w:jc w:val="left"/>
    </w:pPr>
    <w:rPr>
      <w:rFonts w:ascii="仿宋_GB2312" w:hAnsi="宋体"/>
      <w:snapToGrid w:val="0"/>
      <w:color w:val="000000"/>
      <w:spacing w:val="-6"/>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45E706-DE5F-412B-AA26-248268FD78FF}">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5</Pages>
  <Words>202</Words>
  <Characters>1155</Characters>
  <Lines>9</Lines>
  <Paragraphs>2</Paragraphs>
  <TotalTime>4</TotalTime>
  <ScaleCrop>false</ScaleCrop>
  <LinksUpToDate>false</LinksUpToDate>
  <CharactersWithSpaces>1355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2020-05-26T01:44:00Z</dcterms:created>
  <dc:creator>admin</dc:creator>
  <cp:lastModifiedBy>Administrator</cp:lastModifiedBy>
  <cp:lastPrinted>2020-05-26T02:12:00Z</cp:lastPrinted>
  <dcterms:modified xsi:type="dcterms:W3CDTF">2020-10-15T04:36:50Z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