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snapToGrid w:val="0"/>
          <w:color w:val="000000"/>
          <w:kern w:val="0"/>
          <w:sz w:val="44"/>
          <w:szCs w:val="44"/>
          <w:shd w:val="clear" w:color="auto" w:fill="FFFFFF"/>
        </w:rPr>
      </w:pPr>
      <w:r>
        <w:rPr>
          <w:rFonts w:hint="eastAsia" w:ascii="华文中宋" w:hAnsi="华文中宋" w:eastAsia="华文中宋"/>
          <w:snapToGrid w:val="0"/>
          <w:color w:val="000000"/>
          <w:kern w:val="0"/>
          <w:sz w:val="44"/>
          <w:szCs w:val="44"/>
          <w:shd w:val="clear" w:color="auto" w:fill="FFFFFF"/>
        </w:rPr>
        <w:t>山东省人民防空办公室</w:t>
      </w:r>
    </w:p>
    <w:p>
      <w:pPr>
        <w:shd w:val="solid" w:color="FFFFFF" w:fill="auto"/>
        <w:autoSpaceDN w:val="0"/>
        <w:adjustRightInd w:val="0"/>
        <w:snapToGrid w:val="0"/>
        <w:jc w:val="center"/>
        <w:rPr>
          <w:rFonts w:ascii="华文中宋" w:hAnsi="华文中宋" w:eastAsia="华文中宋"/>
          <w:bCs/>
          <w:snapToGrid w:val="0"/>
          <w:color w:val="000000"/>
          <w:kern w:val="0"/>
          <w:sz w:val="44"/>
          <w:shd w:val="clear" w:color="auto" w:fill="FFFFFF"/>
        </w:rPr>
      </w:pPr>
      <w:r>
        <w:rPr>
          <w:rFonts w:hint="eastAsia" w:ascii="华文中宋" w:hAnsi="华文中宋" w:eastAsia="华文中宋"/>
          <w:bCs/>
          <w:snapToGrid w:val="0"/>
          <w:color w:val="000000"/>
          <w:kern w:val="0"/>
          <w:sz w:val="44"/>
          <w:shd w:val="clear" w:color="auto" w:fill="FFFFFF"/>
        </w:rPr>
        <w:t>关于对</w:t>
      </w:r>
      <w:bookmarkStart w:id="0" w:name="baidusnap0"/>
      <w:bookmarkEnd w:id="0"/>
      <w:r>
        <w:rPr>
          <w:rFonts w:hint="eastAsia" w:ascii="华文中宋" w:hAnsi="华文中宋" w:eastAsia="华文中宋"/>
          <w:bCs/>
          <w:snapToGrid w:val="0"/>
          <w:color w:val="000000"/>
          <w:kern w:val="0"/>
          <w:sz w:val="44"/>
          <w:shd w:val="clear" w:color="auto" w:fill="FFFFFF"/>
        </w:rPr>
        <w:t>全省人防工程监理企业年检的情况</w:t>
      </w:r>
      <w:bookmarkStart w:id="1" w:name="baidusnap5"/>
      <w:bookmarkEnd w:id="1"/>
      <w:r>
        <w:rPr>
          <w:rFonts w:hint="eastAsia" w:ascii="华文中宋" w:hAnsi="华文中宋" w:eastAsia="华文中宋"/>
          <w:bCs/>
          <w:snapToGrid w:val="0"/>
          <w:color w:val="000000"/>
          <w:kern w:val="0"/>
          <w:sz w:val="44"/>
          <w:shd w:val="clear" w:color="auto" w:fill="FFFFFF"/>
        </w:rPr>
        <w:t>通报</w:t>
      </w:r>
    </w:p>
    <w:p>
      <w:pPr>
        <w:shd w:val="solid" w:color="FFFFFF" w:fill="auto"/>
        <w:autoSpaceDN w:val="0"/>
        <w:adjustRightInd w:val="0"/>
        <w:snapToGrid w:val="0"/>
        <w:spacing w:line="360" w:lineRule="auto"/>
        <w:rPr>
          <w:rFonts w:ascii="华文中宋" w:hAnsi="华文中宋" w:eastAsia="华文中宋"/>
          <w:snapToGrid w:val="0"/>
          <w:color w:val="000000"/>
          <w:kern w:val="0"/>
          <w:shd w:val="clear" w:color="auto" w:fill="FFFFFF"/>
        </w:rPr>
      </w:pPr>
    </w:p>
    <w:p>
      <w:pPr>
        <w:shd w:val="solid" w:color="FFFFFF" w:fill="auto"/>
        <w:autoSpaceDN w:val="0"/>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为加强人防工程监理企业管理，提高人防工程监理企业的执业水平，根据国家人民防空办公室《关于印发&lt;人防工程监理行政许可资质管理办法&gt;的通知》（国人防</w:t>
      </w:r>
      <w:r>
        <w:rPr>
          <w:rFonts w:hint="eastAsia" w:ascii="仿宋" w:hAnsi="仿宋" w:eastAsia="仿宋"/>
          <w:color w:val="000000"/>
          <w:spacing w:val="-4"/>
          <w:szCs w:val="32"/>
          <w:shd w:val="clear" w:color="auto" w:fill="FFFFFF"/>
        </w:rPr>
        <w:t>〔2013〕</w:t>
      </w:r>
      <w:r>
        <w:rPr>
          <w:rFonts w:hint="eastAsia" w:ascii="仿宋" w:hAnsi="仿宋" w:eastAsia="仿宋"/>
          <w:snapToGrid w:val="0"/>
          <w:color w:val="000000"/>
          <w:kern w:val="0"/>
          <w:szCs w:val="32"/>
          <w:shd w:val="clear" w:color="auto" w:fill="FFFFFF"/>
        </w:rPr>
        <w:t>227号）有关要求和省办年度工作安排，省人防办于2020年8月至10月对全省人防监理企业组织开展了年检工作。现将有关情况通报如下：</w:t>
      </w:r>
    </w:p>
    <w:p>
      <w:pPr>
        <w:shd w:val="solid" w:color="FFFFFF" w:fill="auto"/>
        <w:autoSpaceDN w:val="0"/>
        <w:adjustRightInd w:val="0"/>
        <w:snapToGrid w:val="0"/>
        <w:spacing w:line="360" w:lineRule="auto"/>
        <w:ind w:firstLine="640" w:firstLineChars="200"/>
        <w:rPr>
          <w:rFonts w:ascii="黑体" w:hAnsi="黑体" w:eastAsia="黑体"/>
          <w:snapToGrid w:val="0"/>
          <w:color w:val="000000"/>
          <w:kern w:val="0"/>
          <w:szCs w:val="32"/>
          <w:shd w:val="clear" w:color="auto" w:fill="FFFFFF"/>
        </w:rPr>
      </w:pPr>
      <w:r>
        <w:rPr>
          <w:rFonts w:hint="eastAsia" w:ascii="黑体" w:hAnsi="黑体" w:eastAsia="黑体"/>
          <w:snapToGrid w:val="0"/>
          <w:color w:val="000000"/>
          <w:kern w:val="0"/>
          <w:szCs w:val="32"/>
          <w:shd w:val="clear" w:color="auto" w:fill="FFFFFF"/>
        </w:rPr>
        <w:t>一、基本情况</w:t>
      </w:r>
    </w:p>
    <w:p>
      <w:pPr>
        <w:shd w:val="solid" w:color="FFFFFF" w:fill="auto"/>
        <w:autoSpaceDN w:val="0"/>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1.此次年检采取自查、初审和复审的方式，先由企业进行自查，在自查的基础上，由各市人防办组织初审，自查和检查内容包括年检资料是否齐全、企业市场行为是否规范、房屋建筑监理资质是否符合要求、人防工程注册监理工程师数量是否符合要求。省办重点复核审查房屋建筑监理资质和人防工程注册监理工程师数量。</w:t>
      </w:r>
    </w:p>
    <w:p>
      <w:pPr>
        <w:shd w:val="solid" w:color="FFFFFF" w:fill="auto"/>
        <w:autoSpaceDN w:val="0"/>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2.大多数监理企业能够严格执行资质管理规定，注册资金、办公场所、总监理工程师的人数和专业配备等满足《人防工程监理行政许可资质管理办法》（国人防〔2013〕227 号）的要求，并能够在其资质等级允许的范围内承接监理业务，开展监理活动。</w:t>
      </w:r>
    </w:p>
    <w:p>
      <w:pPr>
        <w:shd w:val="solid" w:color="FFFFFF" w:fill="auto"/>
        <w:autoSpaceDN w:val="0"/>
        <w:snapToGrid w:val="0"/>
        <w:spacing w:line="360" w:lineRule="auto"/>
        <w:rPr>
          <w:rFonts w:ascii="仿宋" w:hAnsi="仿宋" w:eastAsia="仿宋"/>
          <w:shd w:val="clear" w:color="auto" w:fill="FFFFFF"/>
        </w:rPr>
      </w:pPr>
      <w:r>
        <w:rPr>
          <w:rFonts w:hint="eastAsia" w:ascii="仿宋" w:hAnsi="仿宋" w:eastAsia="仿宋"/>
          <w:snapToGrid w:val="0"/>
          <w:color w:val="000000"/>
          <w:kern w:val="0"/>
          <w:szCs w:val="32"/>
          <w:shd w:val="clear" w:color="auto" w:fill="FFFFFF"/>
        </w:rPr>
        <w:t xml:space="preserve">    3.本次年检共检查了人防监理企业195家。</w:t>
      </w:r>
      <w:r>
        <w:rPr>
          <w:rFonts w:hint="eastAsia" w:ascii="仿宋" w:hAnsi="仿宋" w:eastAsia="仿宋"/>
          <w:shd w:val="clear" w:color="auto" w:fill="FFFFFF"/>
        </w:rPr>
        <w:t>从审查结果看，总体情况较好。绝大部分监理企业对年检工作思想重视，准备充分，资料齐全，监理人员符合要求。经省、市人防办审查，195家监理企业中合格的170家，不满足人员资质要求的22家，自动放弃年检的3家。</w:t>
      </w:r>
      <w:r>
        <w:rPr>
          <w:rFonts w:hint="eastAsia" w:ascii="仿宋" w:hAnsi="仿宋" w:eastAsia="仿宋"/>
          <w:snapToGrid w:val="0"/>
          <w:color w:val="000000"/>
          <w:kern w:val="0"/>
          <w:szCs w:val="32"/>
          <w:shd w:val="clear" w:color="auto" w:fill="FFFFFF"/>
        </w:rPr>
        <w:t>总的看，全省大多数监理企业从业情况良好，日常管理比较规范，自查整改工作比较到位，基本达到了年检要求，但仍有部分企业重视不够，甚至没有提报年检材料。</w:t>
      </w:r>
    </w:p>
    <w:p>
      <w:pPr>
        <w:shd w:val="solid" w:color="FFFFFF" w:fill="auto"/>
        <w:autoSpaceDN w:val="0"/>
        <w:adjustRightInd w:val="0"/>
        <w:snapToGrid w:val="0"/>
        <w:spacing w:line="360" w:lineRule="auto"/>
        <w:ind w:firstLine="630"/>
        <w:rPr>
          <w:rFonts w:ascii="黑体" w:hAnsi="黑体" w:eastAsia="黑体"/>
          <w:snapToGrid w:val="0"/>
          <w:color w:val="000000"/>
          <w:kern w:val="0"/>
          <w:szCs w:val="32"/>
          <w:shd w:val="clear" w:color="auto" w:fill="FFFFFF"/>
        </w:rPr>
      </w:pPr>
      <w:r>
        <w:rPr>
          <w:rFonts w:hint="eastAsia" w:ascii="黑体" w:hAnsi="黑体" w:eastAsia="黑体"/>
          <w:snapToGrid w:val="0"/>
          <w:color w:val="000000"/>
          <w:kern w:val="0"/>
          <w:szCs w:val="32"/>
          <w:shd w:val="clear" w:color="auto" w:fill="FFFFFF"/>
        </w:rPr>
        <w:t>二、存在的主要问题</w:t>
      </w:r>
    </w:p>
    <w:p>
      <w:pPr>
        <w:shd w:val="solid" w:color="FFFFFF" w:fill="auto"/>
        <w:autoSpaceDN w:val="0"/>
        <w:adjustRightInd w:val="0"/>
        <w:snapToGrid w:val="0"/>
        <w:spacing w:line="360" w:lineRule="auto"/>
        <w:ind w:firstLine="630"/>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1、部分企业上报材料不及时、不规范，有的企业人员信息不准确、不完整；</w:t>
      </w:r>
    </w:p>
    <w:p>
      <w:pPr>
        <w:shd w:val="solid" w:color="FFFFFF" w:fill="auto"/>
        <w:autoSpaceDN w:val="0"/>
        <w:adjustRightInd w:val="0"/>
        <w:snapToGrid w:val="0"/>
        <w:spacing w:line="360" w:lineRule="auto"/>
        <w:ind w:firstLine="630"/>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2、个别企业仍套用旧表，年检表信息与实际不相符，没有初审意见和初审报告。多次协调核对数据，给年检工作带来很多不便；</w:t>
      </w:r>
    </w:p>
    <w:p>
      <w:pPr>
        <w:shd w:val="solid" w:color="FFFFFF" w:fill="auto"/>
        <w:autoSpaceDN w:val="0"/>
        <w:adjustRightInd w:val="0"/>
        <w:snapToGrid w:val="0"/>
        <w:spacing w:line="360" w:lineRule="auto"/>
        <w:ind w:firstLine="630"/>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3、不满足人员资质要求的企业明显增加，还有的企业改名后未及时办理变更手续。</w:t>
      </w:r>
    </w:p>
    <w:p>
      <w:pPr>
        <w:shd w:val="solid" w:color="FFFFFF" w:fill="auto"/>
        <w:autoSpaceDN w:val="0"/>
        <w:adjustRightInd w:val="0"/>
        <w:snapToGrid w:val="0"/>
        <w:spacing w:line="360" w:lineRule="auto"/>
        <w:ind w:firstLine="640" w:firstLineChars="200"/>
        <w:rPr>
          <w:rFonts w:ascii="仿宋" w:hAnsi="仿宋" w:eastAsia="仿宋"/>
          <w:snapToGrid w:val="0"/>
          <w:color w:val="000000"/>
          <w:kern w:val="0"/>
          <w:szCs w:val="32"/>
          <w:shd w:val="clear" w:color="auto" w:fill="FFFFFF"/>
        </w:rPr>
      </w:pPr>
      <w:r>
        <w:rPr>
          <w:rFonts w:hint="eastAsia" w:ascii="黑体" w:hAnsi="黑体" w:eastAsia="黑体"/>
          <w:snapToGrid w:val="0"/>
          <w:color w:val="000000"/>
          <w:kern w:val="0"/>
          <w:szCs w:val="32"/>
          <w:shd w:val="clear" w:color="auto" w:fill="FFFFFF"/>
        </w:rPr>
        <w:t>三、整改要求</w:t>
      </w:r>
    </w:p>
    <w:p>
      <w:pPr>
        <w:shd w:val="solid" w:color="FFFFFF" w:fill="auto"/>
        <w:autoSpaceDN w:val="0"/>
        <w:adjustRightInd w:val="0"/>
        <w:snapToGrid w:val="0"/>
        <w:spacing w:line="360" w:lineRule="auto"/>
        <w:ind w:firstLine="640" w:firstLineChars="200"/>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针对以上问题现对下步工作提出如下要求：</w:t>
      </w:r>
    </w:p>
    <w:p>
      <w:pPr>
        <w:shd w:val="solid" w:color="FFFFFF" w:fill="auto"/>
        <w:autoSpaceDN w:val="0"/>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rPr>
        <w:t xml:space="preserve">    1.</w:t>
      </w:r>
      <w:r>
        <w:rPr>
          <w:rFonts w:hint="eastAsia" w:ascii="仿宋" w:hAnsi="仿宋" w:eastAsia="仿宋"/>
          <w:snapToGrid w:val="0"/>
          <w:color w:val="000000"/>
          <w:kern w:val="0"/>
          <w:szCs w:val="32"/>
          <w:shd w:val="clear" w:color="auto" w:fill="FFFFFF"/>
        </w:rPr>
        <w:t>各企业要高度重视年检工作，认真开展自查，根据年检要求准确、及时报送相关资料，协助省、市人防办按计划完成年检任务。</w:t>
      </w:r>
    </w:p>
    <w:p>
      <w:pPr>
        <w:shd w:val="solid" w:color="FFFFFF" w:fill="auto"/>
        <w:autoSpaceDN w:val="0"/>
        <w:adjustRightInd w:val="0"/>
        <w:snapToGrid w:val="0"/>
        <w:spacing w:line="360" w:lineRule="auto"/>
        <w:ind w:firstLine="645"/>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2.根据中央放管服改革、国防和军队改革部署要求，国家人防办暂停了人防从业人员执业培训、考试和资格认定工作，年检企业人员配备不足问题暂不处理。各监理单位对照检查存在的问题，及时改进和完善，落实资质年检制度。</w:t>
      </w:r>
    </w:p>
    <w:p>
      <w:pPr>
        <w:shd w:val="solid" w:color="FFFFFF" w:fill="auto"/>
        <w:autoSpaceDN w:val="0"/>
        <w:adjustRightInd w:val="0"/>
        <w:snapToGrid w:val="0"/>
        <w:spacing w:line="360" w:lineRule="auto"/>
        <w:ind w:firstLine="640" w:firstLineChars="200"/>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2.未及时办理单位名称变更的企业，抓紧办理变更手续,各市（县）人防</w:t>
      </w:r>
      <w:bookmarkStart w:id="2" w:name="_GoBack"/>
      <w:bookmarkEnd w:id="2"/>
      <w:r>
        <w:rPr>
          <w:rFonts w:hint="eastAsia" w:ascii="仿宋" w:hAnsi="仿宋" w:eastAsia="仿宋"/>
          <w:snapToGrid w:val="0"/>
          <w:color w:val="000000"/>
          <w:kern w:val="0"/>
          <w:szCs w:val="32"/>
          <w:shd w:val="clear" w:color="auto" w:fill="FFFFFF"/>
        </w:rPr>
        <w:t>部门要加强对辖区内人防监理企业的监管和检查，进一步规范从业行为，认真贯彻落实相关法律法规和规范标准，按照公平、独立、诚信、科学的准则开展好人防工程建设监理工作。</w:t>
      </w:r>
    </w:p>
    <w:p>
      <w:pPr>
        <w:numPr>
          <w:ilvl w:val="0"/>
          <w:numId w:val="1"/>
        </w:numPr>
        <w:shd w:val="solid" w:color="FFFFFF" w:fill="auto"/>
        <w:autoSpaceDN w:val="0"/>
        <w:adjustRightInd w:val="0"/>
        <w:snapToGrid w:val="0"/>
        <w:spacing w:line="360" w:lineRule="auto"/>
        <w:rPr>
          <w:rFonts w:ascii="黑体" w:hAnsi="黑体" w:eastAsia="黑体"/>
          <w:snapToGrid w:val="0"/>
          <w:color w:val="000000"/>
          <w:kern w:val="0"/>
          <w:szCs w:val="32"/>
          <w:shd w:val="clear" w:color="auto" w:fill="FFFFFF"/>
        </w:rPr>
      </w:pPr>
      <w:r>
        <w:rPr>
          <w:rFonts w:hint="eastAsia" w:ascii="黑体" w:hAnsi="黑体" w:eastAsia="黑体"/>
          <w:snapToGrid w:val="0"/>
          <w:color w:val="000000"/>
          <w:kern w:val="0"/>
          <w:szCs w:val="32"/>
          <w:shd w:val="clear" w:color="auto" w:fill="FFFFFF"/>
        </w:rPr>
        <w:t>年检结论</w:t>
      </w:r>
    </w:p>
    <w:p>
      <w:pPr>
        <w:pStyle w:val="7"/>
        <w:shd w:val="solid" w:color="FFFFFF" w:fill="auto"/>
        <w:autoSpaceDN w:val="0"/>
        <w:snapToGrid w:val="0"/>
        <w:spacing w:line="360" w:lineRule="auto"/>
        <w:ind w:firstLine="1056" w:firstLineChars="330"/>
        <w:rPr>
          <w:rFonts w:ascii="仿宋" w:hAnsi="仿宋" w:eastAsia="仿宋"/>
          <w:sz w:val="32"/>
          <w:szCs w:val="24"/>
          <w:shd w:val="clear" w:color="auto" w:fill="FFFFFF"/>
        </w:rPr>
      </w:pPr>
      <w:r>
        <w:rPr>
          <w:rFonts w:hint="eastAsia" w:ascii="仿宋" w:hAnsi="仿宋" w:eastAsia="仿宋"/>
          <w:snapToGrid w:val="0"/>
          <w:color w:val="000000"/>
          <w:kern w:val="0"/>
          <w:sz w:val="32"/>
          <w:szCs w:val="32"/>
          <w:shd w:val="clear" w:color="auto" w:fill="FFFFFF"/>
        </w:rPr>
        <w:t>1.</w:t>
      </w:r>
      <w:r>
        <w:rPr>
          <w:rFonts w:hint="eastAsia" w:ascii="仿宋" w:hAnsi="仿宋" w:eastAsia="仿宋"/>
          <w:shd w:val="clear" w:color="auto" w:fill="FFFFFF"/>
        </w:rPr>
        <w:t xml:space="preserve"> </w:t>
      </w:r>
      <w:r>
        <w:rPr>
          <w:rFonts w:hint="eastAsia" w:ascii="仿宋" w:hAnsi="仿宋" w:eastAsia="仿宋"/>
          <w:sz w:val="32"/>
          <w:shd w:val="clear" w:color="auto" w:fill="FFFFFF"/>
        </w:rPr>
        <w:t>对年检合格的</w:t>
      </w:r>
      <w:r>
        <w:rPr>
          <w:rFonts w:hint="eastAsia" w:ascii="仿宋" w:hAnsi="仿宋" w:eastAsia="仿宋"/>
          <w:sz w:val="32"/>
          <w:szCs w:val="24"/>
          <w:shd w:val="clear" w:color="auto" w:fill="FFFFFF"/>
        </w:rPr>
        <w:t>170家企业及时做出年检合格结论，并在监理资质证书“动态监管记录栏”加盖“山东省人民防空办公室年检”章。</w:t>
      </w:r>
    </w:p>
    <w:p>
      <w:pPr>
        <w:snapToGrid w:val="0"/>
        <w:spacing w:line="360" w:lineRule="auto"/>
        <w:ind w:firstLine="640" w:firstLineChars="200"/>
        <w:rPr>
          <w:rFonts w:ascii="仿宋" w:hAnsi="仿宋" w:eastAsia="仿宋"/>
          <w:shd w:val="clear" w:color="auto" w:fill="FFFFFF"/>
        </w:rPr>
      </w:pPr>
      <w:r>
        <w:rPr>
          <w:rFonts w:hint="eastAsia" w:ascii="仿宋" w:hAnsi="仿宋" w:eastAsia="仿宋"/>
          <w:snapToGrid w:val="0"/>
          <w:color w:val="000000"/>
          <w:kern w:val="0"/>
          <w:szCs w:val="32"/>
          <w:shd w:val="clear" w:color="auto" w:fill="FFFFFF"/>
        </w:rPr>
        <w:t xml:space="preserve"> 2.</w:t>
      </w:r>
      <w:r>
        <w:rPr>
          <w:rFonts w:hint="eastAsia" w:ascii="仿宋" w:hAnsi="仿宋" w:eastAsia="仿宋"/>
          <w:shd w:val="clear" w:color="auto" w:fill="FFFFFF"/>
        </w:rPr>
        <w:t xml:space="preserve"> 对监理工程师数量低于资质等级标准的22家企业，</w:t>
      </w:r>
      <w:r>
        <w:rPr>
          <w:rFonts w:hint="eastAsia" w:ascii="仿宋" w:hAnsi="仿宋" w:eastAsia="仿宋"/>
          <w:snapToGrid w:val="0"/>
          <w:color w:val="000000"/>
          <w:kern w:val="0"/>
          <w:szCs w:val="32"/>
          <w:shd w:val="clear" w:color="auto" w:fill="FFFFFF"/>
        </w:rPr>
        <w:t>采取“告知承诺制”方式，</w:t>
      </w:r>
      <w:r>
        <w:rPr>
          <w:rFonts w:hint="eastAsia" w:ascii="仿宋" w:hAnsi="仿宋" w:eastAsia="仿宋"/>
          <w:shd w:val="clear" w:color="auto" w:fill="FFFFFF"/>
        </w:rPr>
        <w:t>企业写出书面承诺，待国家人防办或省人防办组织考试后，尽快完成人员缺口，在人员补齐之前，按照《山东省人民防空工程和其他人防防护设施建设监理实施细则》第</w:t>
      </w:r>
      <w:r>
        <w:rPr>
          <w:rFonts w:hint="eastAsia" w:ascii="仿宋" w:hAnsi="仿宋" w:eastAsia="仿宋"/>
          <w:shd w:val="clear" w:color="auto" w:fill="FFFFFF"/>
          <w:lang w:val="en-US" w:eastAsia="zh-CN"/>
        </w:rPr>
        <w:t>二十七</w:t>
      </w:r>
      <w:r>
        <w:rPr>
          <w:rFonts w:hint="eastAsia" w:ascii="仿宋" w:hAnsi="仿宋" w:eastAsia="仿宋"/>
          <w:shd w:val="clear" w:color="auto" w:fill="FFFFFF"/>
        </w:rPr>
        <w:t>条有关要求，满足监理项目所需人员。对未履行承诺的单位组织约谈令其整改，</w:t>
      </w:r>
      <w:r>
        <w:rPr>
          <w:rFonts w:hint="eastAsia" w:ascii="仿宋" w:hAnsi="仿宋" w:eastAsia="仿宋"/>
          <w:snapToGrid w:val="0"/>
          <w:color w:val="000000"/>
          <w:kern w:val="0"/>
          <w:szCs w:val="32"/>
          <w:shd w:val="clear" w:color="auto" w:fill="FFFFFF"/>
        </w:rPr>
        <w:t>整改到位后，提报整改报告，省办做出年检合格或不合格结论，整改合格的企业按程序办理相关手续；</w:t>
      </w:r>
      <w:r>
        <w:rPr>
          <w:rFonts w:hint="eastAsia" w:ascii="仿宋" w:hAnsi="仿宋" w:eastAsia="仿宋"/>
          <w:shd w:val="clear" w:color="auto" w:fill="FFFFFF"/>
        </w:rPr>
        <w:t>整改后仍不合格的，按照《山东省人民防空工程和其他人防防护设施建设监理实施细则》第四十条有关要求“人防监理资质为乙级和丙级的，应予以取消；人防监理资质为甲级的，提请国家人防办予以取消”。</w:t>
      </w:r>
    </w:p>
    <w:p>
      <w:pPr>
        <w:pStyle w:val="7"/>
        <w:snapToGrid w:val="0"/>
        <w:spacing w:line="360" w:lineRule="auto"/>
        <w:ind w:firstLine="736" w:firstLineChars="230"/>
        <w:rPr>
          <w:rFonts w:ascii="仿宋" w:hAnsi="仿宋" w:eastAsia="仿宋"/>
          <w:sz w:val="32"/>
          <w:shd w:val="clear" w:color="auto" w:fill="FFFFFF"/>
        </w:rPr>
      </w:pPr>
      <w:r>
        <w:rPr>
          <w:rFonts w:hint="eastAsia" w:ascii="仿宋" w:hAnsi="仿宋" w:eastAsia="仿宋"/>
          <w:snapToGrid w:val="0"/>
          <w:color w:val="000000"/>
          <w:kern w:val="0"/>
          <w:sz w:val="32"/>
          <w:szCs w:val="32"/>
          <w:shd w:val="clear" w:color="auto" w:fill="FFFFFF"/>
        </w:rPr>
        <w:t>3.</w:t>
      </w:r>
      <w:r>
        <w:rPr>
          <w:rFonts w:hint="eastAsia" w:ascii="仿宋" w:hAnsi="仿宋" w:eastAsia="仿宋"/>
          <w:sz w:val="32"/>
          <w:shd w:val="clear" w:color="auto" w:fill="FFFFFF"/>
        </w:rPr>
        <w:t>对自动放弃年检的山东地下空间人防信息科技咨询中心有限公司、山东正成工程项目管理有限公司、青岛市城乡建设工程监理有限公司3家企业，按照《山东省人民防空工程和其他人防防护设施建设监理实施细则》第三十八条有关要求做出其资质证书自行失效，且一年内不得重新申请资质的决定。</w:t>
      </w:r>
    </w:p>
    <w:p>
      <w:pPr>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w:t>
      </w:r>
    </w:p>
    <w:p>
      <w:pPr>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附件：合格企业名单</w:t>
      </w:r>
    </w:p>
    <w:p>
      <w:pPr>
        <w:shd w:val="solid" w:color="FFFFFF" w:fill="auto"/>
        <w:autoSpaceDN w:val="0"/>
        <w:adjustRightInd w:val="0"/>
        <w:snapToGrid w:val="0"/>
        <w:spacing w:line="360" w:lineRule="auto"/>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w:t>
      </w:r>
    </w:p>
    <w:p>
      <w:pPr>
        <w:shd w:val="solid" w:color="FFFFFF" w:fill="auto"/>
        <w:autoSpaceDN w:val="0"/>
        <w:adjustRightInd w:val="0"/>
        <w:snapToGrid w:val="0"/>
        <w:spacing w:line="360" w:lineRule="auto"/>
        <w:rPr>
          <w:rFonts w:ascii="仿宋" w:hAnsi="仿宋" w:eastAsia="仿宋"/>
          <w:snapToGrid w:val="0"/>
          <w:color w:val="000000"/>
          <w:kern w:val="0"/>
          <w:szCs w:val="32"/>
          <w:shd w:val="clear" w:color="auto" w:fill="FFFFFF"/>
        </w:rPr>
      </w:pPr>
    </w:p>
    <w:p>
      <w:pPr>
        <w:adjustRightInd w:val="0"/>
        <w:snapToGrid w:val="0"/>
        <w:spacing w:line="360" w:lineRule="auto"/>
        <w:ind w:right="650" w:firstLine="3401" w:firstLineChars="1063"/>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山东省人民防空办公室</w:t>
      </w:r>
    </w:p>
    <w:p>
      <w:pPr>
        <w:tabs>
          <w:tab w:val="left" w:pos="7655"/>
          <w:tab w:val="left" w:pos="7797"/>
        </w:tabs>
        <w:adjustRightInd w:val="0"/>
        <w:snapToGrid w:val="0"/>
        <w:spacing w:line="360" w:lineRule="auto"/>
        <w:ind w:firstLine="4160" w:firstLineChars="1300"/>
        <w:rPr>
          <w:rFonts w:ascii="仿宋" w:hAnsi="仿宋" w:eastAsia="仿宋"/>
          <w:snapToGrid w:val="0"/>
          <w:color w:val="000000"/>
          <w:kern w:val="0"/>
          <w:szCs w:val="32"/>
          <w:shd w:val="clear" w:color="auto" w:fill="FFFFFF"/>
        </w:rPr>
      </w:pPr>
      <w:r>
        <w:rPr>
          <w:rFonts w:hint="eastAsia" w:ascii="仿宋" w:hAnsi="仿宋" w:eastAsia="仿宋"/>
          <w:snapToGrid w:val="0"/>
          <w:color w:val="000000"/>
          <w:kern w:val="0"/>
          <w:szCs w:val="32"/>
          <w:shd w:val="clear" w:color="auto" w:fill="FFFFFF"/>
        </w:rPr>
        <w:t xml:space="preserve">      2020年12月7日</w:t>
      </w:r>
    </w:p>
    <w:p>
      <w:pPr>
        <w:shd w:val="solid" w:color="FFFFFF" w:fill="auto"/>
        <w:autoSpaceDN w:val="0"/>
        <w:adjustRightInd w:val="0"/>
        <w:snapToGrid w:val="0"/>
        <w:spacing w:line="360" w:lineRule="auto"/>
        <w:jc w:val="center"/>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snapToGrid w:val="0"/>
        <w:spacing w:line="360" w:lineRule="auto"/>
        <w:rPr>
          <w:rFonts w:ascii="仿宋" w:hAnsi="仿宋" w:eastAsia="仿宋"/>
          <w:color w:val="000000"/>
          <w:szCs w:val="32"/>
          <w:shd w:val="clear" w:color="auto" w:fill="FFFFFF"/>
        </w:rPr>
      </w:pPr>
    </w:p>
    <w:p>
      <w:pPr>
        <w:shd w:val="solid" w:color="FFFFFF" w:fill="auto"/>
        <w:autoSpaceDN w:val="0"/>
        <w:adjustRightInd w:val="0"/>
        <w:snapToGrid w:val="0"/>
        <w:spacing w:line="360" w:lineRule="auto"/>
        <w:rPr>
          <w:rFonts w:ascii="仿宋" w:hAnsi="仿宋" w:eastAsia="仿宋"/>
          <w:color w:val="000000"/>
          <w:szCs w:val="32"/>
          <w:shd w:val="clear" w:color="auto" w:fill="FFFFFF"/>
        </w:rPr>
      </w:pPr>
    </w:p>
    <w:p>
      <w:pPr>
        <w:shd w:val="solid" w:color="FFFFFF" w:fill="auto"/>
        <w:autoSpaceDN w:val="0"/>
        <w:adjustRightInd w:val="0"/>
        <w:snapToGrid w:val="0"/>
        <w:spacing w:line="360" w:lineRule="auto"/>
        <w:rPr>
          <w:rFonts w:ascii="仿宋" w:hAnsi="仿宋" w:eastAsia="仿宋"/>
          <w:color w:val="000000"/>
          <w:szCs w:val="32"/>
          <w:shd w:val="clear" w:color="auto" w:fill="FFFFFF"/>
        </w:rPr>
      </w:pPr>
    </w:p>
    <w:p>
      <w:pPr>
        <w:shd w:val="solid" w:color="FFFFFF" w:fill="auto"/>
        <w:autoSpaceDN w:val="0"/>
        <w:adjustRightInd w:val="0"/>
        <w:snapToGrid w:val="0"/>
        <w:spacing w:line="360" w:lineRule="auto"/>
        <w:rPr>
          <w:rFonts w:ascii="仿宋" w:hAnsi="仿宋" w:eastAsia="仿宋"/>
          <w:color w:val="000000"/>
          <w:szCs w:val="32"/>
          <w:shd w:val="clear" w:color="auto" w:fill="FFFFFF"/>
        </w:rPr>
      </w:pPr>
    </w:p>
    <w:p>
      <w:pPr>
        <w:shd w:val="solid" w:color="FFFFFF" w:fill="auto"/>
        <w:autoSpaceDN w:val="0"/>
        <w:adjustRightInd w:val="0"/>
        <w:snapToGrid w:val="0"/>
        <w:spacing w:line="360" w:lineRule="auto"/>
        <w:rPr>
          <w:rFonts w:ascii="仿宋" w:hAnsi="仿宋" w:eastAsia="仿宋"/>
          <w:color w:val="000000"/>
          <w:szCs w:val="32"/>
          <w:shd w:val="clear" w:color="auto" w:fill="FFFFFF"/>
        </w:rPr>
      </w:pPr>
      <w:r>
        <w:rPr>
          <w:rFonts w:hint="eastAsia" w:ascii="仿宋" w:hAnsi="仿宋" w:eastAsia="仿宋"/>
          <w:color w:val="000000"/>
          <w:szCs w:val="32"/>
          <w:shd w:val="clear" w:color="auto" w:fill="FFFFFF"/>
        </w:rPr>
        <w:t>附件</w:t>
      </w:r>
    </w:p>
    <w:p>
      <w:pPr>
        <w:shd w:val="solid" w:color="FFFFFF" w:fill="auto"/>
        <w:autoSpaceDN w:val="0"/>
        <w:adjustRightInd w:val="0"/>
        <w:snapToGrid w:val="0"/>
        <w:spacing w:line="360" w:lineRule="auto"/>
        <w:rPr>
          <w:rFonts w:ascii="仿宋" w:hAnsi="仿宋" w:eastAsia="仿宋"/>
          <w:color w:val="000000"/>
          <w:szCs w:val="32"/>
          <w:shd w:val="clear" w:color="auto" w:fill="FFFFFF"/>
        </w:rPr>
      </w:pPr>
    </w:p>
    <w:p>
      <w:pPr>
        <w:shd w:val="solid" w:color="FFFFFF" w:fill="auto"/>
        <w:autoSpaceDN w:val="0"/>
        <w:adjustRightInd w:val="0"/>
        <w:snapToGrid w:val="0"/>
        <w:spacing w:line="360" w:lineRule="auto"/>
        <w:jc w:val="center"/>
        <w:rPr>
          <w:rFonts w:ascii="黑体" w:hAnsi="黑体" w:eastAsia="黑体"/>
          <w:color w:val="000000"/>
          <w:szCs w:val="32"/>
          <w:shd w:val="clear" w:color="auto" w:fill="FFFFFF"/>
        </w:rPr>
      </w:pPr>
      <w:r>
        <w:rPr>
          <w:rFonts w:hint="eastAsia" w:ascii="黑体" w:hAnsi="黑体" w:eastAsia="黑体"/>
          <w:color w:val="000000"/>
          <w:szCs w:val="32"/>
          <w:shd w:val="clear" w:color="auto" w:fill="FFFFFF"/>
        </w:rPr>
        <w:t>合 格 企 业 名 单</w:t>
      </w: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山东省三益工程建设监理有限公司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山东建院工程监理咨询有限公司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济南市建设监理有限公司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山东倍德工程咨询有限公司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山东省工程监理咨询有限公司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济阳县建设监理有限责任公司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山东建昌工程技术咨询有限公司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山东恒信建设监理有限公司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山东贝特建筑项目管理咨询有限公司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山东泉景工程咨询有限公司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山东众成建设项目管理有限公司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济南齐鲁建设项目管理有限责任公司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济南新家园建设监理有限责任公司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山东英泰克工程咨询有限公司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山东省建设监理咨询有限公司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山东天宇工程项目咨询有限公司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中国重汽集团设计研究院有限公司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山东高新工程设计有限公司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山东泰山工程项目管理有限公司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山东恒信建筑设计有限公司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山东省华一建设项目管理有限公司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青岛瑞祥工程建设监理有限公司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青岛恩地建设工程咨询有限公司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青岛建设监理研究有限公司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青岛青咨建设监理有限公司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青岛理工大学建设工程监理咨询公司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青岛泰鼎工程管理有限公司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青岛市政监理咨询有限公司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青岛雍达建设监理有限公司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青岛市天平工程咨询有限公司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青岛信达工程管理有限公司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青岛明珠建设监理有限公司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青岛商业建设监理有限公司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青岛方圆建设监理有限公司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山东琴岗工程建设监理有限责任公司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青岛同盛建设项目管理有限公司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青岛高园建设咨询管理有限公司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青岛华鹏工程咨询集团有限公司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青岛东方监理有限公司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青岛万通建设监理有限责任公司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青岛平仁工程监理有限公司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青岛市工程建设监理有限责任公司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青岛明天建设监理有限公司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青岛东泰工程咨询有限公司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青岛公信建设监理有限公司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中精信工程技术有限公司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青岛泰丰建设监理有限公司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青岛光华工程监理有限公司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山东世丰建设监理有限公司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青岛海大工程监理咨询有限公司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青岛莱西市工程监理勘察公司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青岛建通浩源集团有限公司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青岛惠中建设监理有限公司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青岛广信建设咨询有限公司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青岛泰华工程管理有限公司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青岛东来工程项目管理有限公司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青岛东昊建设监理有限公司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青岛华海工程建设监理有限公司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山东同力建设项目管理有限公司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山东奥荣工程项目管理有限公司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山东振业建设项目管理有限公司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山东敬业建设项目管理有限公司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山东智诚建设项目管理有限公司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山东松龄建设项目管理有限公司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山东新沃工程项目管理有限公司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淄博天元建设工程设计监理有限公司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枣庄市建筑设计研究院</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枣庄市工程建设监理公司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滕州市工程建设监理技术服务中心</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山东新开元建设项目管理有限公司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胜利油田中睿建设监理有限责任公司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东营市正大建设监理有限责任公司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山东筑博工程项目管理有限公司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东营市东岳监理工程有限公司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胜利油田新兴工程监理咨询有限公司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山东东昊工程监理有限公司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山东天昊工程项目管理有限公司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山东科正工程项目管理有限公司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胜利油田恒伟工程管理有限公司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山东胜利建设监理股份有限公司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东营市广厦建设监理有限责任公司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东营华为工程项目管理有限公司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山东万信项目管理有限公司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烟台市工程建设第一监理有限公司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山东同绩工程项目管理有限公司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烟台圣凯建设工程咨询有限公司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烟台市鸿山建设监理有限责任公司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山东德林工程项目管理有限公司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山东泰和建设管理有限公司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山东新世纪工程项目管理咨询有限公司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烟台田园牧歌项目管理有限公司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莱州市全盛建设项目管理有限公司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山东中盛项目管理有限公司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山东港通工程管理咨询有限公司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招远市城建工程监理有限公司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烟台大学建设监理公司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山东金都工程项目管理有限公司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 xml:space="preserve">山东新时代工程管理有限公司   </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烟台市泰达建设监理有限公司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 xml:space="preserve">烟台康平工程项目管理有限公司  </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烟台正元建设监理有限责任公司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龙口市工程建设监理中心有限公司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烟台市德盛项目管理有限公司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潍坊恒盛源设计咨询有限责任公司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潍坊市工程建设监理有限责任公司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安丘市华鼎工程管理有限公司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临朐县工程建设监理有限公司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山东恒建工程监理咨询有限公司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山东省华诚工程咨询监理有限公司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青州广大工程监理有限公司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潍坊广立工程监理有限公司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山东威达工程项目管理有限公司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潍坊天鹏建设监理有限公司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潍坊市天元工程建设监理有限公司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潍坊蓝图工程项目管理有限公司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山东经纬工程管理有限公司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潍坊五环工程项目管理有限责任公司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山东鑫城工程项目管理有限公司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潍坊市舜城工程项目管理有限公司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山东建宏工程监理有限公司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潍坊海源工程建设监理有限公司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山东博仲项目管理有限公司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 xml:space="preserve">济宁市建筑设计研究院  </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山东齐鲁城市建设管理有限公司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山东东方监理咨询有限公司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济宁市金泰建设监理有限公司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山东儒弘项目管理有限公司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济宁华兴监理咨询中心</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山东尚诚工程监理咨询有限公司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泰安市正信建设工程项目管理有限公司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泰安瑞兴工程咨询有限公司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山东博远工程项目管理有限公司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泰安建业工程咨询有限公司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泰安市银桥工程建设监理有限公司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泰安市卓远工程咨询有限公司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威海正泰工程咨询有限公司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威海市恒屹人防工程管理有限公司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威海宏达工程咨询有限公司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山东裕达建设工程咨询有限公司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文登利丰建设管理有限公司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威海天垣工程咨询管理有限公司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威海通力工程监理有限公司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山东富尔工程咨询管理有限公司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山东鼎晟工程项目管理有限公司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临沂市建设工程监理公司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立信国际工程咨询（山东）有限公司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临沂致诚工程监理咨询有限公司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临沂市兰山区工程建设监理处</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山东正直建设项目管理有限公司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山东天健信达工程咨询有限公司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临沂市华厦城市建设监理有限责任公司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山东中联项目管理有限公司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德州盛康工程监理有限公司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德州义方建设监理有限公司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陵县永安工程建设监理有限公司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山东海通建设监理有限公司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齐河县工程建设监理有限公司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聊城金冠工程咨询有限公司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山东天柱建设监理咨询有限公司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博兴县工程建设监理有限公司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邹平县工程建设监理有限公司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滨州市工程建设监理公司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滨州市中舜建设项目管理有限公司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滨州市工程建设监理处</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山东省惠民县工程建设监理有限责任公司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滨州鲁宏建设工程监理有限公司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无棣县建设监理有限责任公司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菏泽市建设监理公司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单县铸建工程监理有限公司</w:t>
      </w:r>
    </w:p>
    <w:p>
      <w:pPr>
        <w:shd w:val="solid" w:color="FFFFFF" w:fill="auto"/>
        <w:autoSpaceDN w:val="0"/>
        <w:adjustRightInd w:val="0"/>
        <w:snapToGrid w:val="0"/>
        <w:spacing w:line="360" w:lineRule="auto"/>
        <w:jc w:val="left"/>
        <w:rPr>
          <w:rFonts w:ascii="宋体" w:hAnsi="宋体" w:eastAsia="宋体" w:cs="宋体"/>
          <w:kern w:val="0"/>
          <w:szCs w:val="32"/>
        </w:rPr>
      </w:pPr>
      <w:r>
        <w:rPr>
          <w:rFonts w:hint="eastAsia" w:ascii="宋体" w:hAnsi="宋体" w:eastAsia="宋体" w:cs="宋体"/>
          <w:kern w:val="0"/>
          <w:szCs w:val="32"/>
        </w:rPr>
        <w:t>山东中慧咨询管理有限公司</w:t>
      </w: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p>
    <w:p>
      <w:pPr>
        <w:shd w:val="solid" w:color="FFFFFF" w:fill="auto"/>
        <w:autoSpaceDN w:val="0"/>
        <w:adjustRightInd w:val="0"/>
        <w:snapToGrid w:val="0"/>
        <w:spacing w:line="360" w:lineRule="auto"/>
        <w:jc w:val="left"/>
        <w:rPr>
          <w:rFonts w:ascii="宋体" w:hAnsi="宋体" w:eastAsia="宋体" w:cs="宋体"/>
          <w:kern w:val="0"/>
          <w:szCs w:val="32"/>
        </w:rPr>
      </w:pPr>
    </w:p>
    <w:p/>
    <w:sectPr>
      <w:footerReference r:id="rId3" w:type="default"/>
      <w:footerReference r:id="rId4" w:type="even"/>
      <w:pgSz w:w="11906" w:h="16838"/>
      <w:pgMar w:top="1797" w:right="1474" w:bottom="1797" w:left="1418" w:header="1701" w:footer="1531" w:gutter="0"/>
      <w:cols w:space="425" w:num="1"/>
      <w:vAlign w:val="center"/>
      <w:docGrid w:type="linesAndChars" w:linePitch="602"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ind w:left="320" w:leftChars="100" w:right="320" w:rightChars="1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13</w:t>
    </w:r>
    <w:r>
      <w:rPr>
        <w:rFonts w:hint="eastAsia" w:ascii="仿宋_GB2312"/>
        <w:sz w:val="28"/>
        <w:szCs w:val="28"/>
      </w:rPr>
      <w:fldChar w:fldCharType="end"/>
    </w:r>
    <w:r>
      <w:rPr>
        <w:rFonts w:hint="eastAsia" w:ascii="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ind w:left="320" w:leftChars="100" w:right="320" w:rightChars="100"/>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969C4"/>
    <w:multiLevelType w:val="multilevel"/>
    <w:tmpl w:val="6B6969C4"/>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F2"/>
    <w:rsid w:val="000F53FD"/>
    <w:rsid w:val="0024221E"/>
    <w:rsid w:val="002C098E"/>
    <w:rsid w:val="00781E7A"/>
    <w:rsid w:val="007C6EE1"/>
    <w:rsid w:val="009029CC"/>
    <w:rsid w:val="00B066F2"/>
    <w:rsid w:val="00BA7E01"/>
    <w:rsid w:val="00CB016C"/>
    <w:rsid w:val="00CD32FB"/>
    <w:rsid w:val="3F13554C"/>
    <w:rsid w:val="5D29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仿宋_GB2312" w:cs="Times New Roman"/>
      <w:sz w:val="18"/>
      <w:szCs w:val="18"/>
    </w:rPr>
  </w:style>
  <w:style w:type="paragraph" w:styleId="7">
    <w:name w:val="List Paragraph"/>
    <w:basedOn w:val="1"/>
    <w:qFormat/>
    <w:uiPriority w:val="34"/>
    <w:pPr>
      <w:ind w:firstLine="420" w:firstLineChars="200"/>
    </w:pPr>
    <w:rPr>
      <w:rFonts w:ascii="Calibri" w:hAnsi="Calibri" w:eastAsia="宋体"/>
      <w:sz w:val="21"/>
      <w:szCs w:val="22"/>
    </w:rPr>
  </w:style>
  <w:style w:type="character" w:customStyle="1" w:styleId="8">
    <w:name w:val="页眉 Char"/>
    <w:basedOn w:val="5"/>
    <w:link w:val="3"/>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13</Pages>
  <Words>620</Words>
  <Characters>3537</Characters>
  <Lines>29</Lines>
  <Paragraphs>8</Paragraphs>
  <TotalTime>10</TotalTime>
  <ScaleCrop>false</ScaleCrop>
  <LinksUpToDate>false</LinksUpToDate>
  <CharactersWithSpaces>4149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2020-12-03T08:00:00Z</dcterms:created>
  <dc:creator>Micorosoft</dc:creator>
  <cp:lastModifiedBy>乐乐妈</cp:lastModifiedBy>
  <dcterms:modified xsi:type="dcterms:W3CDTF">2020-12-09T01:20:11Z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